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C0B8B" w14:textId="2D2AF7D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4A2DF9" w:rsidRPr="004A2DF9">
        <w:rPr>
          <w:rFonts w:ascii="Arial" w:eastAsia="SimSun" w:hAnsi="Arial" w:cs="Times New Roman"/>
          <w:b/>
          <w:bCs/>
          <w:sz w:val="24"/>
          <w:szCs w:val="20"/>
        </w:rPr>
        <w:t>R4-2309042</w:t>
      </w:r>
    </w:p>
    <w:p w14:paraId="5373C41D"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1B37669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767E229"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275C0BEC" w14:textId="57CC4EF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7949FA" w:rsidRPr="007949FA">
        <w:rPr>
          <w:rFonts w:ascii="Arial" w:eastAsia="Calibri" w:hAnsi="Arial" w:cs="Arial"/>
          <w:b/>
          <w:bCs/>
          <w:sz w:val="24"/>
        </w:rPr>
        <w:t>Discussion o</w:t>
      </w:r>
      <w:r w:rsidR="00170A7E">
        <w:rPr>
          <w:rFonts w:ascii="Arial" w:eastAsia="Calibri" w:hAnsi="Arial" w:cs="Arial"/>
          <w:b/>
          <w:bCs/>
          <w:sz w:val="24"/>
        </w:rPr>
        <w:t>n</w:t>
      </w:r>
      <w:r w:rsidR="007949FA" w:rsidRPr="007949FA">
        <w:rPr>
          <w:rFonts w:ascii="Arial" w:eastAsia="Calibri" w:hAnsi="Arial" w:cs="Arial"/>
          <w:b/>
          <w:bCs/>
          <w:sz w:val="24"/>
        </w:rPr>
        <w:t xml:space="preserve"> BS RF requirements for SBFD</w:t>
      </w:r>
    </w:p>
    <w:p w14:paraId="11422C16" w14:textId="6E2F0878"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D64EAA">
        <w:rPr>
          <w:rFonts w:ascii="Arial" w:eastAsia="MS Mincho" w:hAnsi="Arial" w:cs="Arial"/>
          <w:b/>
          <w:bCs/>
          <w:sz w:val="24"/>
          <w:szCs w:val="20"/>
        </w:rPr>
        <w:t>8.20.2.3</w:t>
      </w:r>
      <w:r w:rsidR="002279EE">
        <w:rPr>
          <w:rFonts w:ascii="Arial" w:eastAsia="MS Mincho" w:hAnsi="Arial" w:cs="Arial"/>
          <w:b/>
          <w:bCs/>
          <w:sz w:val="24"/>
          <w:szCs w:val="20"/>
        </w:rPr>
        <w:t xml:space="preserve"> - </w:t>
      </w:r>
      <w:r w:rsidR="002279EE" w:rsidRPr="002279EE">
        <w:rPr>
          <w:rFonts w:ascii="Arial" w:eastAsia="MS Mincho" w:hAnsi="Arial" w:cs="Arial"/>
          <w:b/>
          <w:bCs/>
          <w:sz w:val="24"/>
          <w:szCs w:val="20"/>
        </w:rPr>
        <w:t>Impacts on BS RF requirements</w:t>
      </w:r>
    </w:p>
    <w:p w14:paraId="32A2092E"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0D47049A" w14:textId="77777777" w:rsidR="00E323E9" w:rsidRPr="008C39F7" w:rsidRDefault="00E323E9" w:rsidP="00841BCD">
      <w:pPr>
        <w:tabs>
          <w:tab w:val="left" w:pos="1985"/>
        </w:tabs>
        <w:rPr>
          <w:rFonts w:ascii="Arial" w:eastAsia="Calibri" w:hAnsi="Arial" w:cs="Arial"/>
          <w:b/>
          <w:bCs/>
          <w:sz w:val="24"/>
        </w:rPr>
      </w:pPr>
    </w:p>
    <w:p w14:paraId="78884815"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6AA96D9" w14:textId="1D9BA0BD" w:rsidR="0060543D" w:rsidRDefault="00C224CA" w:rsidP="005C23A4">
      <w:pPr>
        <w:rPr>
          <w:rStyle w:val="eop"/>
          <w:color w:val="000000"/>
          <w:szCs w:val="20"/>
          <w:shd w:val="clear" w:color="auto" w:fill="FFFFFF"/>
        </w:rPr>
      </w:pPr>
      <w:r>
        <w:rPr>
          <w:rStyle w:val="normaltextrun"/>
          <w:color w:val="000000"/>
          <w:szCs w:val="20"/>
          <w:shd w:val="clear" w:color="auto" w:fill="FFFFFF"/>
        </w:rPr>
        <w:t xml:space="preserve">The WF document </w:t>
      </w:r>
      <w:r w:rsidRPr="00845F41">
        <w:t>R4-2305918</w:t>
      </w:r>
      <w:r>
        <w:rPr>
          <w:rStyle w:val="normaltextrun"/>
          <w:color w:val="000000"/>
          <w:szCs w:val="20"/>
          <w:shd w:val="clear" w:color="auto" w:fill="FFFFFF"/>
        </w:rPr>
        <w:t xml:space="preserve"> </w:t>
      </w:r>
      <w:r>
        <w:rPr>
          <w:rStyle w:val="normaltextrun"/>
          <w:color w:val="000000"/>
          <w:szCs w:val="20"/>
          <w:shd w:val="clear" w:color="auto" w:fill="FFFFFF"/>
        </w:rPr>
        <w:fldChar w:fldCharType="begin"/>
      </w:r>
      <w:r>
        <w:rPr>
          <w:rStyle w:val="normaltextrun"/>
          <w:color w:val="000000"/>
          <w:szCs w:val="20"/>
          <w:shd w:val="clear" w:color="auto" w:fill="FFFFFF"/>
        </w:rPr>
        <w:instrText xml:space="preserve"> REF _Ref133846584 \r \h </w:instrText>
      </w:r>
      <w:r>
        <w:rPr>
          <w:rStyle w:val="normaltextrun"/>
          <w:color w:val="000000"/>
          <w:szCs w:val="20"/>
          <w:shd w:val="clear" w:color="auto" w:fill="FFFFFF"/>
        </w:rPr>
      </w:r>
      <w:r>
        <w:rPr>
          <w:rStyle w:val="normaltextrun"/>
          <w:color w:val="000000"/>
          <w:szCs w:val="20"/>
          <w:shd w:val="clear" w:color="auto" w:fill="FFFFFF"/>
        </w:rPr>
        <w:fldChar w:fldCharType="separate"/>
      </w:r>
      <w:r>
        <w:rPr>
          <w:rStyle w:val="normaltextrun"/>
          <w:color w:val="000000"/>
          <w:szCs w:val="20"/>
          <w:shd w:val="clear" w:color="auto" w:fill="FFFFFF"/>
        </w:rPr>
        <w:t>[1]</w:t>
      </w:r>
      <w:r>
        <w:rPr>
          <w:rStyle w:val="normaltextrun"/>
          <w:color w:val="000000"/>
          <w:szCs w:val="20"/>
          <w:shd w:val="clear" w:color="auto" w:fill="FFFFFF"/>
        </w:rPr>
        <w:fldChar w:fldCharType="end"/>
      </w:r>
      <w:r>
        <w:rPr>
          <w:rStyle w:val="normaltextrun"/>
          <w:color w:val="000000"/>
          <w:szCs w:val="20"/>
          <w:shd w:val="clear" w:color="auto" w:fill="FFFFFF"/>
        </w:rPr>
        <w:t xml:space="preserve"> provides agreements on BS RF requirement impact for SBFD operation. This document presents Nokia’s further views on the subject.</w:t>
      </w:r>
      <w:r>
        <w:rPr>
          <w:rStyle w:val="eop"/>
          <w:color w:val="000000"/>
          <w:szCs w:val="20"/>
          <w:shd w:val="clear" w:color="auto" w:fill="FFFFFF"/>
        </w:rPr>
        <w:t> </w:t>
      </w:r>
    </w:p>
    <w:tbl>
      <w:tblPr>
        <w:tblStyle w:val="TableGrid"/>
        <w:tblW w:w="0" w:type="auto"/>
        <w:tblLook w:val="04A0" w:firstRow="1" w:lastRow="0" w:firstColumn="1" w:lastColumn="0" w:noHBand="0" w:noVBand="1"/>
      </w:tblPr>
      <w:tblGrid>
        <w:gridCol w:w="9617"/>
      </w:tblGrid>
      <w:tr w:rsidR="00E96692" w14:paraId="1E9DF5EB" w14:textId="77777777" w:rsidTr="00E96692">
        <w:tc>
          <w:tcPr>
            <w:tcW w:w="9617" w:type="dxa"/>
          </w:tcPr>
          <w:p w14:paraId="5787A41E" w14:textId="77777777" w:rsidR="006C7B77" w:rsidRPr="006C7B77" w:rsidRDefault="006C7B77" w:rsidP="006C7B77">
            <w:pPr>
              <w:spacing w:before="180" w:after="120"/>
              <w:ind w:left="540"/>
              <w:rPr>
                <w:rFonts w:ascii="Arial" w:eastAsia="Times New Roman" w:hAnsi="Arial" w:cs="Arial"/>
                <w:sz w:val="24"/>
                <w:szCs w:val="24"/>
              </w:rPr>
            </w:pPr>
            <w:bookmarkStart w:id="4" w:name="_Hlk134616948"/>
            <w:r w:rsidRPr="006C7B77">
              <w:rPr>
                <w:rFonts w:ascii="Arial" w:eastAsia="Times New Roman" w:hAnsi="Arial" w:cs="Arial"/>
                <w:sz w:val="24"/>
                <w:szCs w:val="24"/>
              </w:rPr>
              <w:t xml:space="preserve">Issue 4-1-1: OTA sensitivity within SBFD time slot  </w:t>
            </w:r>
          </w:p>
          <w:p w14:paraId="09AFE672" w14:textId="77777777" w:rsidR="006C7B77" w:rsidRPr="006C7B77" w:rsidRDefault="006C7B77" w:rsidP="006C7B77">
            <w:pPr>
              <w:spacing w:before="80" w:after="80"/>
              <w:ind w:left="540"/>
              <w:rPr>
                <w:rFonts w:eastAsia="Times New Roman" w:cs="Times New Roman"/>
                <w:sz w:val="21"/>
                <w:szCs w:val="21"/>
              </w:rPr>
            </w:pPr>
            <w:r w:rsidRPr="006C7B77">
              <w:rPr>
                <w:rFonts w:eastAsia="Times New Roman" w:cs="Times New Roman"/>
                <w:b/>
                <w:bCs/>
                <w:sz w:val="21"/>
                <w:szCs w:val="21"/>
              </w:rPr>
              <w:t>WF:</w:t>
            </w:r>
          </w:p>
          <w:p w14:paraId="3C286B32" w14:textId="77777777" w:rsidR="006C7B77" w:rsidRPr="006C7B77" w:rsidRDefault="006C7B77" w:rsidP="006C7B77">
            <w:pPr>
              <w:numPr>
                <w:ilvl w:val="0"/>
                <w:numId w:val="31"/>
              </w:numPr>
              <w:spacing w:before="80"/>
              <w:textAlignment w:val="center"/>
              <w:rPr>
                <w:rFonts w:ascii="Calibri" w:eastAsia="Times New Roman" w:hAnsi="Calibri" w:cs="Calibri"/>
                <w:sz w:val="22"/>
                <w:lang w:val="en-GB"/>
              </w:rPr>
            </w:pPr>
            <w:r w:rsidRPr="006C7B77">
              <w:rPr>
                <w:rFonts w:eastAsia="Times New Roman" w:cs="Times New Roman"/>
                <w:sz w:val="21"/>
                <w:szCs w:val="21"/>
                <w:lang w:val="en-GB"/>
              </w:rPr>
              <w:t>OTA sensitivity can be derived based on the following equation as a starting point:</w:t>
            </w:r>
          </w:p>
          <w:p w14:paraId="75A53773" w14:textId="77777777" w:rsidR="006C7B77" w:rsidRPr="006C7B77" w:rsidRDefault="00000000" w:rsidP="006C7B77">
            <w:pPr>
              <w:spacing w:before="80" w:after="80"/>
              <w:ind w:left="540"/>
              <w:rPr>
                <w:rFonts w:ascii="Cambria Math" w:eastAsia="Times New Roman" w:hAnsi="Cambria Math" w:cs="Calibri"/>
                <w:sz w:val="22"/>
                <w:lang w:val=""/>
              </w:rPr>
            </w:pPr>
            <m:oMathPara>
              <m:oMath>
                <m:func>
                  <m:funcPr>
                    <m:ctrlPr>
                      <w:rPr>
                        <w:rFonts w:ascii="Cambria Math" w:eastAsia="Times New Roman" w:hAnsi="Cambria Math" w:cs="Calibri"/>
                        <w:sz w:val="22"/>
                        <w:lang w:val=""/>
                      </w:rPr>
                    </m:ctrlPr>
                  </m:funcPr>
                  <m:fName>
                    <m:sSub>
                      <m:sSubPr>
                        <m:ctrlPr>
                          <w:rPr>
                            <w:rFonts w:ascii="Cambria Math" w:eastAsia="Times New Roman" w:hAnsi="Cambria Math" w:cs="Calibri"/>
                            <w:sz w:val="22"/>
                            <w:lang w:val=""/>
                          </w:rPr>
                        </m:ctrlPr>
                      </m:sSubPr>
                      <m:e>
                        <m:r>
                          <m:rPr>
                            <m:sty m:val="p"/>
                          </m:rPr>
                          <w:rPr>
                            <w:rFonts w:ascii="Cambria Math" w:eastAsia="Times New Roman" w:hAnsi="Cambria Math" w:cs="Calibri"/>
                            <w:sz w:val="22"/>
                            <w:lang w:val=""/>
                          </w:rPr>
                          <m:t>P</m:t>
                        </m:r>
                      </m:e>
                      <m:sub>
                        <m:r>
                          <m:rPr>
                            <m:sty m:val="p"/>
                          </m:rPr>
                          <w:rPr>
                            <w:rFonts w:ascii="Cambria Math" w:eastAsia="Times New Roman" w:hAnsi="Cambria Math" w:cs="Calibri"/>
                            <w:sz w:val="22"/>
                            <w:lang w:val=""/>
                          </w:rPr>
                          <m:t>REFSENS</m:t>
                        </m:r>
                      </m:sub>
                    </m:sSub>
                    <m:d>
                      <m:dPr>
                        <m:ctrlPr>
                          <w:rPr>
                            <w:rFonts w:ascii="Cambria Math" w:eastAsia="Times New Roman" w:hAnsi="Cambria Math" w:cs="Calibri"/>
                            <w:sz w:val="22"/>
                            <w:lang w:val=""/>
                          </w:rPr>
                        </m:ctrlPr>
                      </m:dPr>
                      <m:e>
                        <m:r>
                          <m:rPr>
                            <m:sty m:val="p"/>
                          </m:rPr>
                          <w:rPr>
                            <w:rFonts w:ascii="Cambria Math" w:eastAsia="Times New Roman" w:hAnsi="Cambria Math" w:cs="Calibri"/>
                            <w:sz w:val="22"/>
                            <w:lang w:val=""/>
                          </w:rPr>
                          <m:t>dBm</m:t>
                        </m:r>
                      </m:e>
                    </m:d>
                    <m:r>
                      <m:rPr>
                        <m:sty m:val="p"/>
                      </m:rPr>
                      <w:rPr>
                        <w:rFonts w:ascii="Cambria Math" w:eastAsia="Times New Roman" w:hAnsi="Cambria Math" w:cs="Calibri"/>
                        <w:sz w:val="22"/>
                        <w:lang w:val=""/>
                      </w:rPr>
                      <m:t>=-174dBm+10×</m:t>
                    </m:r>
                  </m:fName>
                  <m:e>
                    <m:r>
                      <m:rPr>
                        <m:sty m:val="p"/>
                      </m:rPr>
                      <w:rPr>
                        <w:rFonts w:ascii="Cambria Math" w:eastAsia="Times New Roman" w:hAnsi="Cambria Math" w:cs="Calibri"/>
                        <w:sz w:val="22"/>
                        <w:lang w:val=""/>
                      </w:rPr>
                      <m:t>log10</m:t>
                    </m:r>
                  </m:e>
                </m:func>
                <m:r>
                  <m:rPr>
                    <m:sty m:val="p"/>
                  </m:rPr>
                  <w:rPr>
                    <w:rFonts w:ascii="Cambria Math" w:eastAsia="Times New Roman" w:hAnsi="Cambria Math" w:cs="Calibri"/>
                    <w:sz w:val="22"/>
                    <w:lang w:val=""/>
                  </w:rPr>
                  <m:t>(BW)+</m:t>
                </m:r>
                <m:sSub>
                  <m:sSubPr>
                    <m:ctrlPr>
                      <w:rPr>
                        <w:rFonts w:ascii="Cambria Math" w:eastAsia="Times New Roman" w:hAnsi="Cambria Math" w:cs="Calibri"/>
                        <w:sz w:val="22"/>
                        <w:lang w:val=""/>
                      </w:rPr>
                    </m:ctrlPr>
                  </m:sSubPr>
                  <m:e>
                    <m:r>
                      <m:rPr>
                        <m:sty m:val="p"/>
                      </m:rPr>
                      <w:rPr>
                        <w:rFonts w:ascii="Cambria Math" w:eastAsia="Times New Roman" w:hAnsi="Cambria Math" w:cs="Calibri"/>
                        <w:sz w:val="22"/>
                        <w:lang w:val=""/>
                      </w:rPr>
                      <m:t>N</m:t>
                    </m:r>
                  </m:e>
                  <m:sub>
                    <m:r>
                      <m:rPr>
                        <m:sty m:val="p"/>
                      </m:rPr>
                      <w:rPr>
                        <w:rFonts w:ascii="Cambria Math" w:eastAsia="Times New Roman" w:hAnsi="Cambria Math" w:cs="Calibri"/>
                        <w:sz w:val="22"/>
                        <w:lang w:val=""/>
                      </w:rPr>
                      <m:t>F</m:t>
                    </m:r>
                  </m:sub>
                </m:sSub>
                <m:r>
                  <m:rPr>
                    <m:sty m:val="p"/>
                  </m:rPr>
                  <w:rPr>
                    <w:rFonts w:ascii="Cambria Math" w:eastAsia="Times New Roman" w:hAnsi="Cambria Math" w:cs="Calibri"/>
                    <w:sz w:val="22"/>
                    <w:lang w:val=""/>
                  </w:rPr>
                  <m:t>+</m:t>
                </m:r>
                <m:sSub>
                  <m:sSubPr>
                    <m:ctrlPr>
                      <w:rPr>
                        <w:rFonts w:ascii="Cambria Math" w:eastAsia="Times New Roman" w:hAnsi="Cambria Math" w:cs="Calibri"/>
                        <w:sz w:val="22"/>
                        <w:lang w:val=""/>
                      </w:rPr>
                    </m:ctrlPr>
                  </m:sSubPr>
                  <m:e>
                    <m:r>
                      <m:rPr>
                        <m:sty m:val="p"/>
                      </m:rPr>
                      <w:rPr>
                        <w:rFonts w:ascii="Cambria Math" w:eastAsia="Times New Roman" w:hAnsi="Cambria Math" w:cs="Calibri"/>
                        <w:sz w:val="22"/>
                        <w:lang w:val=""/>
                      </w:rPr>
                      <m:t>I</m:t>
                    </m:r>
                  </m:e>
                  <m:sub>
                    <m:r>
                      <m:rPr>
                        <m:sty m:val="p"/>
                      </m:rPr>
                      <w:rPr>
                        <w:rFonts w:ascii="Cambria Math" w:eastAsia="Times New Roman" w:hAnsi="Cambria Math" w:cs="Calibri"/>
                        <w:sz w:val="22"/>
                        <w:lang w:val=""/>
                      </w:rPr>
                      <m:t>M</m:t>
                    </m:r>
                  </m:sub>
                </m:sSub>
                <m:r>
                  <m:rPr>
                    <m:sty m:val="p"/>
                  </m:rPr>
                  <w:rPr>
                    <w:rFonts w:ascii="Cambria Math" w:eastAsia="Times New Roman" w:hAnsi="Cambria Math" w:cs="Calibri"/>
                    <w:sz w:val="22"/>
                    <w:lang w:val=""/>
                  </w:rPr>
                  <m:t>+SNR+[ 1dB desens target]</m:t>
                </m:r>
              </m:oMath>
            </m:oMathPara>
          </w:p>
          <w:p w14:paraId="5E4D3242" w14:textId="77777777" w:rsidR="006C7B77" w:rsidRPr="006C7B77" w:rsidRDefault="006C7B77" w:rsidP="006C7B77">
            <w:pPr>
              <w:numPr>
                <w:ilvl w:val="0"/>
                <w:numId w:val="32"/>
              </w:numPr>
              <w:spacing w:before="120" w:after="20"/>
              <w:textAlignment w:val="center"/>
              <w:rPr>
                <w:rFonts w:ascii="Calibri" w:eastAsia="Times New Roman" w:hAnsi="Calibri" w:cs="Calibri"/>
                <w:sz w:val="22"/>
              </w:rPr>
            </w:pPr>
            <w:r w:rsidRPr="006C7B77">
              <w:rPr>
                <w:rFonts w:eastAsia="Times New Roman" w:cs="Times New Roman"/>
                <w:sz w:val="21"/>
                <w:szCs w:val="21"/>
              </w:rPr>
              <w:t>The followings should be discussed further</w:t>
            </w:r>
          </w:p>
          <w:p w14:paraId="528DF501" w14:textId="77777777" w:rsidR="006C7B77" w:rsidRPr="006C7B77" w:rsidRDefault="006C7B77" w:rsidP="006C7B77">
            <w:pPr>
              <w:numPr>
                <w:ilvl w:val="1"/>
                <w:numId w:val="32"/>
              </w:numPr>
              <w:spacing w:before="120" w:after="20"/>
              <w:textAlignment w:val="center"/>
              <w:rPr>
                <w:rFonts w:ascii="Calibri" w:eastAsia="Times New Roman" w:hAnsi="Calibri" w:cs="Calibri"/>
                <w:sz w:val="22"/>
              </w:rPr>
            </w:pPr>
            <w:r w:rsidRPr="006C7B77">
              <w:rPr>
                <w:rFonts w:eastAsia="Times New Roman" w:cs="Times New Roman"/>
                <w:sz w:val="21"/>
                <w:szCs w:val="21"/>
              </w:rPr>
              <w:t>The exact value for [</w:t>
            </w:r>
            <m:oMath>
              <m:r>
                <m:rPr>
                  <m:sty m:val="p"/>
                </m:rPr>
                <w:rPr>
                  <w:rFonts w:ascii="Cambria Math" w:eastAsia="Times New Roman" w:hAnsi="Cambria Math" w:cs="Calibri"/>
                  <w:sz w:val="22"/>
                </w:rPr>
                <m:t>1dB desens target</m:t>
              </m:r>
            </m:oMath>
            <w:r w:rsidRPr="006C7B77">
              <w:rPr>
                <w:rFonts w:eastAsia="Times New Roman" w:cs="Times New Roman"/>
                <w:sz w:val="21"/>
                <w:szCs w:val="21"/>
                <w:lang w:val="en-GB"/>
              </w:rPr>
              <w:t>]</w:t>
            </w:r>
          </w:p>
          <w:p w14:paraId="2AFCF7D6" w14:textId="77777777" w:rsidR="006C7B77" w:rsidRPr="006C7B77" w:rsidRDefault="006C7B77" w:rsidP="006C7B77">
            <w:pPr>
              <w:numPr>
                <w:ilvl w:val="1"/>
                <w:numId w:val="32"/>
              </w:numPr>
              <w:spacing w:before="120" w:after="20"/>
              <w:textAlignment w:val="center"/>
              <w:rPr>
                <w:rFonts w:ascii="Calibri" w:eastAsia="Times New Roman" w:hAnsi="Calibri" w:cs="Calibri"/>
                <w:sz w:val="22"/>
                <w:lang w:val="en-GB"/>
              </w:rPr>
            </w:pPr>
            <w:r w:rsidRPr="006C7B77">
              <w:rPr>
                <w:rFonts w:eastAsia="Times New Roman" w:cs="Times New Roman"/>
                <w:sz w:val="21"/>
                <w:szCs w:val="21"/>
                <w:lang w:val="en-GB"/>
              </w:rPr>
              <w:t>The declaration of maximum TRP for the requirement of OTA sensitivity within SBFD time slot</w:t>
            </w:r>
          </w:p>
          <w:p w14:paraId="45BCA9BA" w14:textId="77777777" w:rsidR="006C7B77" w:rsidRPr="006C7B77" w:rsidRDefault="006C7B77" w:rsidP="006C7B77">
            <w:pPr>
              <w:numPr>
                <w:ilvl w:val="1"/>
                <w:numId w:val="32"/>
              </w:numPr>
              <w:spacing w:before="120" w:after="20"/>
              <w:textAlignment w:val="center"/>
              <w:rPr>
                <w:rFonts w:ascii="Calibri" w:eastAsia="Times New Roman" w:hAnsi="Calibri" w:cs="Calibri"/>
                <w:sz w:val="22"/>
                <w:lang w:val="en-GB"/>
              </w:rPr>
            </w:pPr>
            <w:r w:rsidRPr="006C7B77">
              <w:rPr>
                <w:rFonts w:eastAsia="Times New Roman" w:cs="Times New Roman"/>
                <w:sz w:val="21"/>
                <w:szCs w:val="21"/>
                <w:lang w:val="en-GB"/>
              </w:rPr>
              <w:t>If OTA sensitivity should be defined considering all of the scenarios including self-interference, inter-site interference and inter-sector interference.</w:t>
            </w:r>
          </w:p>
          <w:p w14:paraId="71C82E5E" w14:textId="77777777" w:rsidR="006C7B77" w:rsidRPr="006C7B77" w:rsidRDefault="006C7B77" w:rsidP="006C7B77">
            <w:pPr>
              <w:spacing w:before="20" w:after="20"/>
              <w:ind w:left="1080"/>
              <w:rPr>
                <w:rFonts w:eastAsia="Times New Roman" w:cs="Times New Roman"/>
                <w:color w:val="1F497D"/>
                <w:sz w:val="21"/>
                <w:szCs w:val="21"/>
              </w:rPr>
            </w:pPr>
            <w:r w:rsidRPr="006C7B77">
              <w:rPr>
                <w:rFonts w:eastAsia="Times New Roman" w:cs="Times New Roman"/>
                <w:i/>
                <w:iCs/>
                <w:color w:val="1F497D"/>
                <w:sz w:val="21"/>
                <w:szCs w:val="21"/>
              </w:rPr>
              <w:t> </w:t>
            </w:r>
          </w:p>
          <w:p w14:paraId="27A7B846" w14:textId="77777777" w:rsidR="006C7B77" w:rsidRPr="006C7B77" w:rsidRDefault="006C7B77" w:rsidP="006C7B77">
            <w:pPr>
              <w:spacing w:before="180" w:after="120"/>
              <w:ind w:left="540"/>
              <w:rPr>
                <w:rFonts w:ascii="Arial" w:eastAsia="Times New Roman" w:hAnsi="Arial" w:cs="Arial"/>
                <w:sz w:val="24"/>
                <w:szCs w:val="24"/>
              </w:rPr>
            </w:pPr>
            <w:r w:rsidRPr="006C7B77">
              <w:rPr>
                <w:rFonts w:ascii="Arial" w:eastAsia="Times New Roman" w:hAnsi="Arial" w:cs="Arial"/>
                <w:sz w:val="24"/>
                <w:szCs w:val="24"/>
              </w:rPr>
              <w:t xml:space="preserve">Issue 4-1-2: In-channel adjacent </w:t>
            </w:r>
            <w:proofErr w:type="spellStart"/>
            <w:r w:rsidRPr="006C7B77">
              <w:rPr>
                <w:rFonts w:ascii="Arial" w:eastAsia="Times New Roman" w:hAnsi="Arial" w:cs="Arial"/>
                <w:sz w:val="24"/>
                <w:szCs w:val="24"/>
              </w:rPr>
              <w:t>subband</w:t>
            </w:r>
            <w:proofErr w:type="spellEnd"/>
            <w:r w:rsidRPr="006C7B77">
              <w:rPr>
                <w:rFonts w:ascii="Arial" w:eastAsia="Times New Roman" w:hAnsi="Arial" w:cs="Arial"/>
                <w:sz w:val="24"/>
                <w:szCs w:val="24"/>
              </w:rPr>
              <w:t xml:space="preserve"> leakage ratio, In-channel adjacent </w:t>
            </w:r>
            <w:proofErr w:type="spellStart"/>
            <w:r w:rsidRPr="006C7B77">
              <w:rPr>
                <w:rFonts w:ascii="Arial" w:eastAsia="Times New Roman" w:hAnsi="Arial" w:cs="Arial"/>
                <w:sz w:val="24"/>
                <w:szCs w:val="24"/>
              </w:rPr>
              <w:t>subband</w:t>
            </w:r>
            <w:proofErr w:type="spellEnd"/>
            <w:r w:rsidRPr="006C7B77">
              <w:rPr>
                <w:rFonts w:ascii="Arial" w:eastAsia="Times New Roman" w:hAnsi="Arial" w:cs="Arial"/>
                <w:sz w:val="24"/>
                <w:szCs w:val="24"/>
              </w:rPr>
              <w:t xml:space="preserve"> Blocking and adjacent </w:t>
            </w:r>
            <w:proofErr w:type="spellStart"/>
            <w:r w:rsidRPr="006C7B77">
              <w:rPr>
                <w:rFonts w:ascii="Arial" w:eastAsia="Times New Roman" w:hAnsi="Arial" w:cs="Arial"/>
                <w:sz w:val="24"/>
                <w:szCs w:val="24"/>
              </w:rPr>
              <w:t>subband</w:t>
            </w:r>
            <w:proofErr w:type="spellEnd"/>
            <w:r w:rsidRPr="006C7B77">
              <w:rPr>
                <w:rFonts w:ascii="Arial" w:eastAsia="Times New Roman" w:hAnsi="Arial" w:cs="Arial"/>
                <w:sz w:val="24"/>
                <w:szCs w:val="24"/>
              </w:rPr>
              <w:t xml:space="preserve"> selectivity within SBFD time slot  </w:t>
            </w:r>
          </w:p>
          <w:p w14:paraId="68550D19" w14:textId="77777777" w:rsidR="006C7B77" w:rsidRPr="006C7B77" w:rsidRDefault="006C7B77" w:rsidP="006C7B77">
            <w:pPr>
              <w:spacing w:before="80" w:after="80"/>
              <w:ind w:left="540"/>
              <w:rPr>
                <w:rFonts w:eastAsia="Times New Roman" w:cs="Times New Roman"/>
                <w:sz w:val="21"/>
                <w:szCs w:val="21"/>
              </w:rPr>
            </w:pPr>
            <w:r w:rsidRPr="006C7B77">
              <w:rPr>
                <w:rFonts w:eastAsia="Times New Roman" w:cs="Times New Roman"/>
                <w:b/>
                <w:bCs/>
                <w:sz w:val="21"/>
                <w:szCs w:val="21"/>
              </w:rPr>
              <w:t>WF:</w:t>
            </w:r>
          </w:p>
          <w:p w14:paraId="21E476B7" w14:textId="77777777" w:rsidR="006C7B77" w:rsidRPr="006C7B77" w:rsidRDefault="006C7B77" w:rsidP="006C7B77">
            <w:pPr>
              <w:numPr>
                <w:ilvl w:val="0"/>
                <w:numId w:val="33"/>
              </w:numPr>
              <w:spacing w:before="80"/>
              <w:textAlignment w:val="center"/>
              <w:rPr>
                <w:rFonts w:ascii="Calibri" w:eastAsia="Times New Roman" w:hAnsi="Calibri" w:cs="Calibri"/>
                <w:sz w:val="22"/>
                <w:lang w:val="en-GB"/>
              </w:rPr>
            </w:pPr>
            <w:r w:rsidRPr="006C7B77">
              <w:rPr>
                <w:rFonts w:eastAsia="Times New Roman" w:cs="Times New Roman"/>
                <w:sz w:val="21"/>
                <w:szCs w:val="21"/>
                <w:lang w:val="en-GB"/>
              </w:rPr>
              <w:t>FFS if these requirements need to be defined.</w:t>
            </w:r>
          </w:p>
          <w:p w14:paraId="54AAFCE8" w14:textId="77777777" w:rsidR="006C7B77" w:rsidRPr="006C7B77" w:rsidRDefault="006C7B77" w:rsidP="006C7B77">
            <w:pPr>
              <w:numPr>
                <w:ilvl w:val="0"/>
                <w:numId w:val="33"/>
              </w:numPr>
              <w:spacing w:before="80"/>
              <w:textAlignment w:val="center"/>
              <w:rPr>
                <w:rFonts w:ascii="Calibri" w:eastAsia="Times New Roman" w:hAnsi="Calibri" w:cs="Calibri"/>
                <w:sz w:val="22"/>
                <w:lang w:val="en-GB"/>
              </w:rPr>
            </w:pPr>
            <w:r w:rsidRPr="006C7B77">
              <w:rPr>
                <w:rFonts w:eastAsia="Times New Roman" w:cs="Times New Roman"/>
                <w:sz w:val="21"/>
                <w:szCs w:val="21"/>
                <w:lang w:val="en-GB"/>
              </w:rPr>
              <w:t>The following aspects are mentioned during the discussion in this meeting,</w:t>
            </w:r>
          </w:p>
          <w:p w14:paraId="3EB5337D" w14:textId="1BDF443E" w:rsidR="006C7B77" w:rsidRPr="006C7B77" w:rsidRDefault="006C7B77" w:rsidP="006C7B77">
            <w:pPr>
              <w:numPr>
                <w:ilvl w:val="1"/>
                <w:numId w:val="33"/>
              </w:numPr>
              <w:spacing w:before="120" w:after="20"/>
              <w:textAlignment w:val="center"/>
              <w:rPr>
                <w:rFonts w:ascii="Calibri" w:eastAsia="Times New Roman" w:hAnsi="Calibri" w:cs="Calibri"/>
                <w:sz w:val="22"/>
              </w:rPr>
            </w:pPr>
            <w:r w:rsidRPr="006C7B77">
              <w:rPr>
                <w:rFonts w:eastAsia="Times New Roman" w:cs="Times New Roman"/>
                <w:sz w:val="21"/>
                <w:szCs w:val="21"/>
              </w:rPr>
              <w:t>The potential request from the performance insurance when considering inter-site and inter-sector BS interference.</w:t>
            </w:r>
          </w:p>
          <w:p w14:paraId="488508C5" w14:textId="5F49BC1D" w:rsidR="006C7B77" w:rsidRPr="006C7B77" w:rsidRDefault="006C7B77" w:rsidP="006C7B77">
            <w:pPr>
              <w:numPr>
                <w:ilvl w:val="1"/>
                <w:numId w:val="33"/>
              </w:numPr>
              <w:spacing w:before="120" w:after="20"/>
              <w:textAlignment w:val="center"/>
              <w:rPr>
                <w:rFonts w:ascii="Calibri" w:eastAsia="Times New Roman" w:hAnsi="Calibri" w:cs="Calibri"/>
                <w:sz w:val="22"/>
              </w:rPr>
            </w:pPr>
            <w:r w:rsidRPr="006C7B77">
              <w:rPr>
                <w:rFonts w:eastAsia="Times New Roman" w:cs="Times New Roman"/>
                <w:sz w:val="21"/>
                <w:szCs w:val="21"/>
              </w:rPr>
              <w:t>The possibility of adding inter-site and/or inter-sector BS interference into the OTA sensitivity test</w:t>
            </w:r>
          </w:p>
          <w:p w14:paraId="32AE368C" w14:textId="2AC28A37" w:rsidR="006C7B77" w:rsidRPr="006C7B77" w:rsidRDefault="006C7B77" w:rsidP="006C7B77">
            <w:pPr>
              <w:numPr>
                <w:ilvl w:val="1"/>
                <w:numId w:val="33"/>
              </w:numPr>
              <w:spacing w:before="120" w:after="20"/>
              <w:textAlignment w:val="center"/>
              <w:rPr>
                <w:rFonts w:ascii="Calibri" w:eastAsia="Times New Roman" w:hAnsi="Calibri" w:cs="Calibri"/>
                <w:sz w:val="22"/>
              </w:rPr>
            </w:pPr>
            <w:r w:rsidRPr="006C7B77">
              <w:rPr>
                <w:rFonts w:eastAsia="Times New Roman" w:cs="Times New Roman"/>
                <w:sz w:val="21"/>
                <w:szCs w:val="21"/>
              </w:rPr>
              <w:t>The assumption of BS-BS isolation</w:t>
            </w:r>
          </w:p>
          <w:p w14:paraId="606F6F8D" w14:textId="043D261E" w:rsidR="006C7B77" w:rsidRPr="006C7B77" w:rsidRDefault="006C7B77" w:rsidP="006C7B77">
            <w:pPr>
              <w:numPr>
                <w:ilvl w:val="1"/>
                <w:numId w:val="33"/>
              </w:numPr>
              <w:spacing w:before="120" w:after="20"/>
              <w:textAlignment w:val="center"/>
              <w:rPr>
                <w:rFonts w:ascii="Calibri" w:eastAsia="Times New Roman" w:hAnsi="Calibri" w:cs="Calibri"/>
                <w:sz w:val="22"/>
              </w:rPr>
            </w:pPr>
            <w:r w:rsidRPr="006C7B77">
              <w:rPr>
                <w:rFonts w:eastAsia="Times New Roman" w:cs="Times New Roman"/>
                <w:sz w:val="21"/>
                <w:szCs w:val="21"/>
              </w:rPr>
              <w:t>The adopted interference suppression technology</w:t>
            </w:r>
          </w:p>
          <w:p w14:paraId="2E175422" w14:textId="38EC00F9" w:rsidR="006C7B77" w:rsidRPr="006C7B77" w:rsidRDefault="006C7B77" w:rsidP="006C7B77">
            <w:pPr>
              <w:numPr>
                <w:ilvl w:val="1"/>
                <w:numId w:val="33"/>
              </w:numPr>
              <w:spacing w:before="120" w:after="20"/>
              <w:textAlignment w:val="center"/>
              <w:rPr>
                <w:rFonts w:ascii="Calibri" w:eastAsia="Times New Roman" w:hAnsi="Calibri" w:cs="Calibri"/>
                <w:sz w:val="22"/>
              </w:rPr>
            </w:pPr>
            <w:r w:rsidRPr="006C7B77">
              <w:rPr>
                <w:rFonts w:eastAsia="Times New Roman" w:cs="Times New Roman"/>
                <w:sz w:val="21"/>
                <w:szCs w:val="21"/>
              </w:rPr>
              <w:t>Whether or not these requirements can be implicitly guaranteed by OTA sensitivity requirement</w:t>
            </w:r>
          </w:p>
          <w:p w14:paraId="50036302" w14:textId="77777777" w:rsidR="006C7B77" w:rsidRPr="006C7B77" w:rsidRDefault="006C7B77" w:rsidP="006C7B77">
            <w:pPr>
              <w:spacing w:before="80" w:after="80"/>
              <w:ind w:left="540"/>
              <w:rPr>
                <w:rFonts w:eastAsia="Times New Roman" w:cs="Times New Roman"/>
                <w:color w:val="4F81BD"/>
                <w:szCs w:val="20"/>
              </w:rPr>
            </w:pPr>
            <w:r w:rsidRPr="006C7B77">
              <w:rPr>
                <w:rFonts w:eastAsia="Times New Roman" w:cs="Times New Roman"/>
                <w:i/>
                <w:iCs/>
                <w:color w:val="4F81BD"/>
                <w:szCs w:val="20"/>
              </w:rPr>
              <w:t> </w:t>
            </w:r>
          </w:p>
          <w:p w14:paraId="2CFA2895" w14:textId="77777777" w:rsidR="006C7B77" w:rsidRPr="006C7B77" w:rsidRDefault="006C7B77" w:rsidP="006C7B77">
            <w:pPr>
              <w:spacing w:before="180" w:after="120"/>
              <w:ind w:left="540"/>
              <w:rPr>
                <w:rFonts w:ascii="Arial" w:eastAsia="Times New Roman" w:hAnsi="Arial" w:cs="Arial"/>
                <w:sz w:val="24"/>
                <w:szCs w:val="24"/>
              </w:rPr>
            </w:pPr>
            <w:r w:rsidRPr="006C7B77">
              <w:rPr>
                <w:rFonts w:ascii="Arial" w:eastAsia="Times New Roman" w:hAnsi="Arial" w:cs="Arial"/>
                <w:sz w:val="24"/>
                <w:szCs w:val="24"/>
              </w:rPr>
              <w:t>Issue 4-1-4: Transition ON-OFF power and transition period</w:t>
            </w:r>
          </w:p>
          <w:p w14:paraId="13F3A257" w14:textId="77777777" w:rsidR="006C7B77" w:rsidRPr="006C7B77" w:rsidRDefault="006C7B77" w:rsidP="006C7B77">
            <w:pPr>
              <w:spacing w:before="80" w:after="80"/>
              <w:ind w:left="540"/>
              <w:rPr>
                <w:rFonts w:eastAsia="Times New Roman" w:cs="Times New Roman"/>
                <w:sz w:val="21"/>
                <w:szCs w:val="21"/>
              </w:rPr>
            </w:pPr>
            <w:r w:rsidRPr="006C7B77">
              <w:rPr>
                <w:rFonts w:eastAsia="Times New Roman" w:cs="Times New Roman"/>
                <w:b/>
                <w:bCs/>
                <w:sz w:val="21"/>
                <w:szCs w:val="21"/>
              </w:rPr>
              <w:t>WF:</w:t>
            </w:r>
          </w:p>
          <w:p w14:paraId="04A79EA7" w14:textId="77777777" w:rsidR="006C7B77" w:rsidRPr="006C7B77" w:rsidRDefault="006C7B77" w:rsidP="006C7B77">
            <w:pPr>
              <w:numPr>
                <w:ilvl w:val="0"/>
                <w:numId w:val="34"/>
              </w:numPr>
              <w:spacing w:before="80"/>
              <w:textAlignment w:val="center"/>
              <w:rPr>
                <w:rFonts w:ascii="Calibri" w:eastAsia="Times New Roman" w:hAnsi="Calibri" w:cs="Calibri"/>
                <w:sz w:val="22"/>
              </w:rPr>
            </w:pPr>
            <w:r w:rsidRPr="006C7B77">
              <w:rPr>
                <w:rFonts w:eastAsia="Times New Roman" w:cs="Times New Roman"/>
                <w:sz w:val="21"/>
                <w:szCs w:val="21"/>
                <w:lang w:val="en-GB"/>
              </w:rPr>
              <w:t>Further discuss the necessity of transition requirement for the</w:t>
            </w:r>
            <w:r w:rsidRPr="006C7B77">
              <w:rPr>
                <w:rFonts w:eastAsia="Times New Roman" w:cs="Times New Roman"/>
                <w:sz w:val="21"/>
                <w:szCs w:val="21"/>
              </w:rPr>
              <w:t xml:space="preserve"> slot changes between SBFD slots and SBFD/non-SBFD slots</w:t>
            </w:r>
            <w:r w:rsidRPr="006C7B77">
              <w:rPr>
                <w:rFonts w:eastAsia="Times New Roman" w:cs="Times New Roman"/>
                <w:sz w:val="21"/>
                <w:szCs w:val="21"/>
                <w:lang w:val="en-GB"/>
              </w:rPr>
              <w:t>.</w:t>
            </w:r>
          </w:p>
          <w:p w14:paraId="2D7E253E" w14:textId="77777777" w:rsidR="006C7B77" w:rsidRPr="006C7B77" w:rsidRDefault="006C7B77" w:rsidP="006C7B77">
            <w:pPr>
              <w:numPr>
                <w:ilvl w:val="0"/>
                <w:numId w:val="34"/>
              </w:numPr>
              <w:spacing w:before="80"/>
              <w:textAlignment w:val="center"/>
              <w:rPr>
                <w:rFonts w:ascii="Calibri" w:eastAsia="Times New Roman" w:hAnsi="Calibri" w:cs="Calibri"/>
                <w:sz w:val="22"/>
                <w:lang w:val="en-GB"/>
              </w:rPr>
            </w:pPr>
            <w:r w:rsidRPr="006C7B77">
              <w:rPr>
                <w:rFonts w:eastAsia="Times New Roman" w:cs="Times New Roman"/>
                <w:sz w:val="21"/>
                <w:szCs w:val="21"/>
                <w:lang w:val="en-GB"/>
              </w:rPr>
              <w:lastRenderedPageBreak/>
              <w:t>The following aspect is mentioned during the discussion in this meeting,</w:t>
            </w:r>
          </w:p>
          <w:p w14:paraId="5B677451" w14:textId="77777777" w:rsidR="006C7B77" w:rsidRPr="006C7B77" w:rsidRDefault="006C7B77" w:rsidP="006C7B77">
            <w:pPr>
              <w:numPr>
                <w:ilvl w:val="1"/>
                <w:numId w:val="34"/>
              </w:numPr>
              <w:spacing w:before="120" w:after="20"/>
              <w:textAlignment w:val="center"/>
              <w:rPr>
                <w:rFonts w:ascii="Calibri" w:eastAsia="Times New Roman" w:hAnsi="Calibri" w:cs="Calibri"/>
                <w:sz w:val="22"/>
              </w:rPr>
            </w:pPr>
            <w:r w:rsidRPr="006C7B77">
              <w:rPr>
                <w:rFonts w:eastAsia="Times New Roman" w:cs="Times New Roman"/>
                <w:sz w:val="21"/>
                <w:szCs w:val="21"/>
                <w:lang w:val="en-GB"/>
              </w:rPr>
              <w:t xml:space="preserve">The </w:t>
            </w:r>
            <w:r w:rsidRPr="006C7B77">
              <w:rPr>
                <w:rFonts w:eastAsia="Times New Roman" w:cs="Times New Roman"/>
                <w:sz w:val="21"/>
                <w:szCs w:val="21"/>
              </w:rPr>
              <w:t>switching of parts of an array</w:t>
            </w:r>
          </w:p>
          <w:p w14:paraId="2AE63B7E" w14:textId="77777777" w:rsidR="006C7B77" w:rsidRPr="006C7B77" w:rsidRDefault="006C7B77" w:rsidP="006C7B77">
            <w:pPr>
              <w:numPr>
                <w:ilvl w:val="1"/>
                <w:numId w:val="34"/>
              </w:numPr>
              <w:spacing w:before="120" w:after="20"/>
              <w:textAlignment w:val="center"/>
              <w:rPr>
                <w:rFonts w:ascii="Calibri" w:eastAsia="Times New Roman" w:hAnsi="Calibri" w:cs="Calibri"/>
                <w:sz w:val="22"/>
              </w:rPr>
            </w:pPr>
            <w:r w:rsidRPr="006C7B77">
              <w:rPr>
                <w:rFonts w:eastAsia="Times New Roman" w:cs="Times New Roman"/>
                <w:sz w:val="21"/>
                <w:szCs w:val="21"/>
              </w:rPr>
              <w:t>Turn on the receiver side compared with DL transmission only</w:t>
            </w:r>
          </w:p>
          <w:p w14:paraId="5D85121C" w14:textId="77777777" w:rsidR="006C7B77" w:rsidRPr="006C7B77" w:rsidRDefault="006C7B77" w:rsidP="006C7B77">
            <w:pPr>
              <w:numPr>
                <w:ilvl w:val="1"/>
                <w:numId w:val="34"/>
              </w:numPr>
              <w:spacing w:before="120" w:after="20"/>
              <w:textAlignment w:val="center"/>
              <w:rPr>
                <w:rFonts w:ascii="Calibri" w:eastAsia="Times New Roman" w:hAnsi="Calibri" w:cs="Calibri"/>
                <w:sz w:val="22"/>
              </w:rPr>
            </w:pPr>
            <w:proofErr w:type="spellStart"/>
            <w:r w:rsidRPr="006C7B77">
              <w:rPr>
                <w:rFonts w:eastAsia="Times New Roman" w:cs="Times New Roman"/>
                <w:sz w:val="21"/>
                <w:szCs w:val="21"/>
              </w:rPr>
              <w:t>etc</w:t>
            </w:r>
            <w:proofErr w:type="spellEnd"/>
          </w:p>
          <w:p w14:paraId="5514A4FF" w14:textId="77777777" w:rsidR="006C7B77" w:rsidRPr="006C7B77" w:rsidRDefault="006C7B77" w:rsidP="006C7B77">
            <w:pPr>
              <w:spacing w:before="80" w:after="80"/>
              <w:ind w:left="540"/>
              <w:rPr>
                <w:rFonts w:eastAsia="Times New Roman" w:cs="Times New Roman"/>
                <w:color w:val="4F81BD"/>
                <w:szCs w:val="20"/>
              </w:rPr>
            </w:pPr>
            <w:r w:rsidRPr="006C7B77">
              <w:rPr>
                <w:rFonts w:eastAsia="Times New Roman" w:cs="Times New Roman"/>
                <w:i/>
                <w:iCs/>
                <w:color w:val="4F81BD"/>
                <w:szCs w:val="20"/>
              </w:rPr>
              <w:t> </w:t>
            </w:r>
          </w:p>
          <w:p w14:paraId="140AA8E6" w14:textId="77777777" w:rsidR="006C7B77" w:rsidRPr="006C7B77" w:rsidRDefault="006C7B77" w:rsidP="006C7B77">
            <w:pPr>
              <w:spacing w:before="180" w:after="120"/>
              <w:ind w:left="540"/>
              <w:rPr>
                <w:rFonts w:ascii="Arial" w:eastAsia="Times New Roman" w:hAnsi="Arial" w:cs="Arial"/>
                <w:sz w:val="24"/>
                <w:szCs w:val="24"/>
              </w:rPr>
            </w:pPr>
            <w:r w:rsidRPr="006C7B77">
              <w:rPr>
                <w:rFonts w:ascii="Arial" w:eastAsia="Times New Roman" w:hAnsi="Arial" w:cs="Arial"/>
                <w:sz w:val="24"/>
                <w:szCs w:val="24"/>
              </w:rPr>
              <w:t>Issue 4-1-5: Tx intermodulation requirement and co-location out-of-band blocking</w:t>
            </w:r>
          </w:p>
          <w:p w14:paraId="77FE465C" w14:textId="77777777" w:rsidR="006C7B77" w:rsidRPr="006C7B77" w:rsidRDefault="006C7B77" w:rsidP="006C7B77">
            <w:pPr>
              <w:spacing w:before="80" w:after="80"/>
              <w:ind w:left="540"/>
              <w:rPr>
                <w:rFonts w:eastAsia="Times New Roman" w:cs="Times New Roman"/>
                <w:sz w:val="22"/>
              </w:rPr>
            </w:pPr>
            <w:r w:rsidRPr="006C7B77">
              <w:rPr>
                <w:rFonts w:eastAsia="Times New Roman" w:cs="Times New Roman"/>
                <w:b/>
                <w:bCs/>
                <w:sz w:val="22"/>
              </w:rPr>
              <w:t>WF:</w:t>
            </w:r>
          </w:p>
          <w:p w14:paraId="70DE2A36" w14:textId="77777777" w:rsidR="006C7B77" w:rsidRPr="006C7B77" w:rsidRDefault="006C7B77" w:rsidP="006C7B77">
            <w:pPr>
              <w:numPr>
                <w:ilvl w:val="0"/>
                <w:numId w:val="35"/>
              </w:numPr>
              <w:spacing w:before="80"/>
              <w:textAlignment w:val="center"/>
              <w:rPr>
                <w:rFonts w:ascii="Calibri" w:eastAsia="Times New Roman" w:hAnsi="Calibri" w:cs="Calibri"/>
                <w:sz w:val="22"/>
                <w:lang w:val="en-GB"/>
              </w:rPr>
            </w:pPr>
            <w:r w:rsidRPr="006C7B77">
              <w:rPr>
                <w:rFonts w:eastAsia="Times New Roman" w:cs="Times New Roman"/>
                <w:sz w:val="21"/>
                <w:szCs w:val="21"/>
                <w:lang w:val="en-GB"/>
              </w:rPr>
              <w:t>Further discuss Tx intermodulation requirement for co-location scenario.</w:t>
            </w:r>
          </w:p>
          <w:p w14:paraId="16063DF3" w14:textId="77777777" w:rsidR="006C7B77" w:rsidRPr="006C7B77" w:rsidRDefault="006C7B77" w:rsidP="006C7B77">
            <w:pPr>
              <w:numPr>
                <w:ilvl w:val="0"/>
                <w:numId w:val="35"/>
              </w:numPr>
              <w:spacing w:before="80"/>
              <w:textAlignment w:val="center"/>
              <w:rPr>
                <w:rFonts w:ascii="Calibri" w:eastAsia="Times New Roman" w:hAnsi="Calibri" w:cs="Calibri"/>
                <w:sz w:val="22"/>
                <w:lang w:val="en-GB"/>
              </w:rPr>
            </w:pPr>
            <w:r w:rsidRPr="006C7B77">
              <w:rPr>
                <w:rFonts w:eastAsia="Times New Roman" w:cs="Times New Roman"/>
                <w:sz w:val="21"/>
                <w:szCs w:val="21"/>
                <w:lang w:val="en-GB"/>
              </w:rPr>
              <w:t>The following aspects are mentioned in this meeting,</w:t>
            </w:r>
          </w:p>
          <w:p w14:paraId="08834F26" w14:textId="180F9432" w:rsidR="006C7B77" w:rsidRPr="006C7B77" w:rsidRDefault="006C7B77" w:rsidP="006C7B77">
            <w:pPr>
              <w:numPr>
                <w:ilvl w:val="1"/>
                <w:numId w:val="35"/>
              </w:numPr>
              <w:spacing w:before="120" w:after="20"/>
              <w:textAlignment w:val="center"/>
              <w:rPr>
                <w:rFonts w:ascii="Calibri" w:eastAsia="Times New Roman" w:hAnsi="Calibri" w:cs="Calibri"/>
                <w:sz w:val="22"/>
              </w:rPr>
            </w:pPr>
            <w:r w:rsidRPr="006C7B77">
              <w:rPr>
                <w:rFonts w:eastAsia="Times New Roman" w:cs="Times New Roman"/>
                <w:sz w:val="21"/>
                <w:szCs w:val="21"/>
              </w:rPr>
              <w:t>Large Tx IM signal may block SBFD BS, no requirement or a reasonable requirement may be needed.</w:t>
            </w:r>
          </w:p>
          <w:p w14:paraId="30801D4D" w14:textId="6F79EC0C" w:rsidR="006C7B77" w:rsidRPr="006C7B77" w:rsidRDefault="006C7B77" w:rsidP="006C7B77">
            <w:pPr>
              <w:numPr>
                <w:ilvl w:val="1"/>
                <w:numId w:val="35"/>
              </w:numPr>
              <w:spacing w:before="120" w:after="20"/>
              <w:textAlignment w:val="center"/>
              <w:rPr>
                <w:rFonts w:ascii="Calibri" w:eastAsia="Times New Roman" w:hAnsi="Calibri" w:cs="Calibri"/>
                <w:sz w:val="22"/>
              </w:rPr>
            </w:pPr>
            <w:r w:rsidRPr="006C7B77">
              <w:rPr>
                <w:rFonts w:eastAsia="Times New Roman" w:cs="Times New Roman"/>
                <w:sz w:val="21"/>
                <w:szCs w:val="21"/>
              </w:rPr>
              <w:t>If new requirement is needed, the REFSENS DESENS should take self-interference DESENS into account.</w:t>
            </w:r>
          </w:p>
          <w:p w14:paraId="3DF0EB2A" w14:textId="678BFB3D" w:rsidR="006C7B77" w:rsidRPr="006C7B77" w:rsidRDefault="006C7B77" w:rsidP="006C7B77">
            <w:pPr>
              <w:numPr>
                <w:ilvl w:val="1"/>
                <w:numId w:val="35"/>
              </w:numPr>
              <w:spacing w:before="120" w:after="20"/>
              <w:textAlignment w:val="center"/>
              <w:rPr>
                <w:rFonts w:ascii="Calibri" w:eastAsia="Times New Roman" w:hAnsi="Calibri" w:cs="Calibri"/>
                <w:sz w:val="22"/>
              </w:rPr>
            </w:pPr>
            <w:r w:rsidRPr="006C7B77">
              <w:rPr>
                <w:rFonts w:eastAsia="Times New Roman" w:cs="Times New Roman"/>
                <w:sz w:val="21"/>
                <w:szCs w:val="21"/>
              </w:rPr>
              <w:t xml:space="preserve">If larger coupling loss between co-located </w:t>
            </w:r>
            <w:proofErr w:type="spellStart"/>
            <w:r w:rsidRPr="006C7B77">
              <w:rPr>
                <w:rFonts w:eastAsia="Times New Roman" w:cs="Times New Roman"/>
                <w:sz w:val="21"/>
                <w:szCs w:val="21"/>
              </w:rPr>
              <w:t>gNBs</w:t>
            </w:r>
            <w:proofErr w:type="spellEnd"/>
            <w:r w:rsidRPr="006C7B77">
              <w:rPr>
                <w:rFonts w:eastAsia="Times New Roman" w:cs="Times New Roman"/>
                <w:sz w:val="21"/>
                <w:szCs w:val="21"/>
              </w:rPr>
              <w:t xml:space="preserve"> should be considered for this requirement.</w:t>
            </w:r>
          </w:p>
          <w:p w14:paraId="5E7A7C14" w14:textId="745DBBCB" w:rsidR="006C7B77" w:rsidRPr="006C7B77" w:rsidRDefault="006C7B77" w:rsidP="006C7B77">
            <w:pPr>
              <w:numPr>
                <w:ilvl w:val="1"/>
                <w:numId w:val="35"/>
              </w:numPr>
              <w:spacing w:before="120" w:after="20"/>
              <w:textAlignment w:val="center"/>
              <w:rPr>
                <w:rFonts w:ascii="Calibri" w:eastAsia="Times New Roman" w:hAnsi="Calibri" w:cs="Calibri"/>
                <w:sz w:val="22"/>
              </w:rPr>
            </w:pPr>
            <w:r w:rsidRPr="006C7B77">
              <w:rPr>
                <w:rFonts w:eastAsia="Times New Roman" w:cs="Times New Roman"/>
                <w:sz w:val="21"/>
                <w:szCs w:val="21"/>
              </w:rPr>
              <w:t>TX IM may be needed to ensure that TX emissions are maintained in the presence of an interferer (even if the interferer would de-sensitize the SBFD receiver, or during non-SBFD DL slots).</w:t>
            </w:r>
          </w:p>
          <w:p w14:paraId="1BF6F298" w14:textId="77777777" w:rsidR="006C7B77" w:rsidRPr="006C7B77" w:rsidRDefault="006C7B77" w:rsidP="006C7B77">
            <w:pPr>
              <w:spacing w:before="80" w:after="80"/>
              <w:ind w:left="540"/>
              <w:rPr>
                <w:rFonts w:eastAsia="Times New Roman" w:cs="Times New Roman"/>
                <w:szCs w:val="20"/>
              </w:rPr>
            </w:pPr>
            <w:r w:rsidRPr="006C7B77">
              <w:rPr>
                <w:rFonts w:eastAsia="Times New Roman" w:cs="Times New Roman"/>
                <w:szCs w:val="20"/>
              </w:rPr>
              <w:t> </w:t>
            </w:r>
          </w:p>
          <w:p w14:paraId="6BC57733" w14:textId="77777777" w:rsidR="006C7B77" w:rsidRPr="006C7B77" w:rsidRDefault="006C7B77" w:rsidP="006C7B77">
            <w:pPr>
              <w:spacing w:before="180" w:after="120"/>
              <w:ind w:left="540"/>
              <w:rPr>
                <w:rFonts w:ascii="Arial" w:eastAsia="Times New Roman" w:hAnsi="Arial" w:cs="Arial"/>
                <w:sz w:val="24"/>
                <w:szCs w:val="24"/>
              </w:rPr>
            </w:pPr>
            <w:r w:rsidRPr="006C7B77">
              <w:rPr>
                <w:rFonts w:ascii="Arial" w:eastAsia="Times New Roman" w:hAnsi="Arial" w:cs="Arial"/>
                <w:sz w:val="24"/>
                <w:szCs w:val="24"/>
              </w:rPr>
              <w:t>Issue 4-1-6: Other new requirements (if needed)</w:t>
            </w:r>
          </w:p>
          <w:p w14:paraId="117AD265" w14:textId="77777777" w:rsidR="006C7B77" w:rsidRPr="006C7B77" w:rsidRDefault="006C7B77" w:rsidP="006C7B77">
            <w:pPr>
              <w:spacing w:before="80" w:after="80"/>
              <w:ind w:left="540"/>
              <w:rPr>
                <w:rFonts w:eastAsia="Times New Roman" w:cs="Times New Roman"/>
                <w:sz w:val="21"/>
                <w:szCs w:val="21"/>
              </w:rPr>
            </w:pPr>
            <w:r w:rsidRPr="006C7B77">
              <w:rPr>
                <w:rFonts w:eastAsia="Times New Roman" w:cs="Times New Roman"/>
                <w:b/>
                <w:bCs/>
                <w:sz w:val="21"/>
                <w:szCs w:val="21"/>
              </w:rPr>
              <w:t>WF:</w:t>
            </w:r>
          </w:p>
          <w:p w14:paraId="2FE631B4" w14:textId="77777777" w:rsidR="006C7B77" w:rsidRPr="006C7B77" w:rsidRDefault="006C7B77" w:rsidP="006C7B77">
            <w:pPr>
              <w:numPr>
                <w:ilvl w:val="0"/>
                <w:numId w:val="36"/>
              </w:numPr>
              <w:spacing w:before="80"/>
              <w:textAlignment w:val="center"/>
              <w:rPr>
                <w:rFonts w:ascii="Calibri" w:eastAsia="Times New Roman" w:hAnsi="Calibri" w:cs="Calibri"/>
                <w:sz w:val="22"/>
              </w:rPr>
            </w:pPr>
            <w:r w:rsidRPr="006C7B77">
              <w:rPr>
                <w:rFonts w:eastAsia="Times New Roman" w:cs="Times New Roman"/>
                <w:sz w:val="21"/>
                <w:szCs w:val="21"/>
              </w:rPr>
              <w:t>No agreements on this issue.</w:t>
            </w:r>
          </w:p>
          <w:p w14:paraId="2D0D8508" w14:textId="77777777" w:rsidR="006C7B77" w:rsidRPr="006C7B77" w:rsidRDefault="006C7B77" w:rsidP="006C7B77">
            <w:pPr>
              <w:numPr>
                <w:ilvl w:val="0"/>
                <w:numId w:val="36"/>
              </w:numPr>
              <w:spacing w:before="80"/>
              <w:textAlignment w:val="center"/>
              <w:rPr>
                <w:rFonts w:ascii="Calibri" w:eastAsia="Times New Roman" w:hAnsi="Calibri" w:cs="Calibri"/>
                <w:sz w:val="22"/>
                <w:lang w:val="en-GB"/>
              </w:rPr>
            </w:pPr>
            <w:r w:rsidRPr="006C7B77">
              <w:rPr>
                <w:rFonts w:eastAsia="Times New Roman" w:cs="Times New Roman"/>
                <w:sz w:val="21"/>
                <w:szCs w:val="21"/>
                <w:lang w:val="en-GB"/>
              </w:rPr>
              <w:t>The following aspects are discussed in this meeting,</w:t>
            </w:r>
          </w:p>
          <w:p w14:paraId="7AB5580C" w14:textId="77777777" w:rsidR="006C7B77" w:rsidRPr="006C7B77" w:rsidRDefault="006C7B77" w:rsidP="006C7B77">
            <w:pPr>
              <w:numPr>
                <w:ilvl w:val="1"/>
                <w:numId w:val="36"/>
              </w:numPr>
              <w:spacing w:before="120" w:after="20"/>
              <w:textAlignment w:val="center"/>
              <w:rPr>
                <w:rFonts w:ascii="Calibri" w:eastAsia="Times New Roman" w:hAnsi="Calibri" w:cs="Calibri"/>
                <w:sz w:val="22"/>
              </w:rPr>
            </w:pPr>
            <w:r w:rsidRPr="006C7B77">
              <w:rPr>
                <w:rFonts w:eastAsia="Times New Roman" w:cs="Times New Roman"/>
                <w:sz w:val="21"/>
                <w:szCs w:val="21"/>
              </w:rPr>
              <w:t>Self-interference impact on Rx IMD performance</w:t>
            </w:r>
          </w:p>
          <w:p w14:paraId="19FFC3E4" w14:textId="77777777" w:rsidR="006C7B77" w:rsidRPr="006C7B77" w:rsidRDefault="006C7B77" w:rsidP="006C7B77">
            <w:pPr>
              <w:numPr>
                <w:ilvl w:val="1"/>
                <w:numId w:val="36"/>
              </w:numPr>
              <w:spacing w:before="120" w:after="20"/>
              <w:textAlignment w:val="center"/>
              <w:rPr>
                <w:rFonts w:ascii="Calibri" w:eastAsia="Times New Roman" w:hAnsi="Calibri" w:cs="Calibri"/>
                <w:sz w:val="22"/>
              </w:rPr>
            </w:pPr>
            <w:r w:rsidRPr="006C7B77">
              <w:rPr>
                <w:rFonts w:eastAsia="Times New Roman" w:cs="Times New Roman"/>
                <w:sz w:val="21"/>
                <w:szCs w:val="21"/>
              </w:rPr>
              <w:t xml:space="preserve">The noise floor </w:t>
            </w:r>
            <w:proofErr w:type="gramStart"/>
            <w:r w:rsidRPr="006C7B77">
              <w:rPr>
                <w:rFonts w:eastAsia="Times New Roman" w:cs="Times New Roman"/>
                <w:sz w:val="21"/>
                <w:szCs w:val="21"/>
              </w:rPr>
              <w:t>rise</w:t>
            </w:r>
            <w:proofErr w:type="gramEnd"/>
            <w:r w:rsidRPr="006C7B77">
              <w:rPr>
                <w:rFonts w:eastAsia="Times New Roman" w:cs="Times New Roman"/>
                <w:sz w:val="21"/>
                <w:szCs w:val="21"/>
              </w:rPr>
              <w:t xml:space="preserve"> for the dynamic range requirement due to the in-channel interference from other </w:t>
            </w:r>
            <w:proofErr w:type="spellStart"/>
            <w:r w:rsidRPr="006C7B77">
              <w:rPr>
                <w:rFonts w:eastAsia="Times New Roman" w:cs="Times New Roman"/>
                <w:sz w:val="21"/>
                <w:szCs w:val="21"/>
              </w:rPr>
              <w:t>gNBs</w:t>
            </w:r>
            <w:proofErr w:type="spellEnd"/>
            <w:r w:rsidRPr="006C7B77">
              <w:rPr>
                <w:rFonts w:eastAsia="Times New Roman" w:cs="Times New Roman"/>
                <w:sz w:val="21"/>
                <w:szCs w:val="21"/>
              </w:rPr>
              <w:t xml:space="preserve">. </w:t>
            </w:r>
          </w:p>
          <w:p w14:paraId="040ABB4D" w14:textId="73656926" w:rsidR="006C7B77" w:rsidRPr="006C7B77" w:rsidRDefault="006C7B77" w:rsidP="006C7B77">
            <w:pPr>
              <w:numPr>
                <w:ilvl w:val="1"/>
                <w:numId w:val="36"/>
              </w:numPr>
              <w:spacing w:before="120" w:after="20"/>
              <w:textAlignment w:val="center"/>
              <w:rPr>
                <w:rFonts w:ascii="Calibri" w:eastAsia="Times New Roman" w:hAnsi="Calibri" w:cs="Calibri"/>
                <w:sz w:val="22"/>
              </w:rPr>
            </w:pPr>
            <w:r w:rsidRPr="006C7B77">
              <w:rPr>
                <w:rFonts w:eastAsia="Times New Roman" w:cs="Times New Roman"/>
                <w:sz w:val="21"/>
                <w:szCs w:val="21"/>
              </w:rPr>
              <w:t>Not precluded other new requirements.</w:t>
            </w:r>
          </w:p>
          <w:p w14:paraId="2AC038AA" w14:textId="686237CF" w:rsidR="006C7B77" w:rsidRPr="006C7B77" w:rsidRDefault="006C7B77" w:rsidP="006C7B77">
            <w:pPr>
              <w:spacing w:before="80" w:after="80"/>
              <w:ind w:left="540"/>
              <w:rPr>
                <w:rFonts w:eastAsia="Times New Roman" w:cs="Times New Roman"/>
                <w:szCs w:val="20"/>
              </w:rPr>
            </w:pPr>
          </w:p>
          <w:p w14:paraId="279BC9EB" w14:textId="77777777" w:rsidR="00E96692" w:rsidRDefault="00E96692" w:rsidP="005C23A4"/>
        </w:tc>
      </w:tr>
      <w:bookmarkEnd w:id="4"/>
    </w:tbl>
    <w:p w14:paraId="34913BEB" w14:textId="77777777" w:rsidR="00E96692" w:rsidRPr="008C39F7" w:rsidRDefault="00E96692" w:rsidP="005C23A4"/>
    <w:p w14:paraId="1D54C362" w14:textId="77777777" w:rsidR="003B659E" w:rsidRPr="008C39F7" w:rsidRDefault="003B659E" w:rsidP="00AE56B1">
      <w:pPr>
        <w:pStyle w:val="RAN4H1"/>
      </w:pPr>
      <w:bookmarkStart w:id="5" w:name="_Toc116995842"/>
      <w:r w:rsidRPr="008C39F7">
        <w:t>Discussion</w:t>
      </w:r>
      <w:bookmarkEnd w:id="5"/>
    </w:p>
    <w:p w14:paraId="6102D7F5" w14:textId="77777777" w:rsidR="00CA06D4" w:rsidRPr="008C39F7" w:rsidRDefault="00CA06D4" w:rsidP="00300956"/>
    <w:p w14:paraId="790EA06E" w14:textId="77777777" w:rsidR="008924E4" w:rsidRDefault="003705C5" w:rsidP="00496606">
      <w:pPr>
        <w:pStyle w:val="RAN4H2"/>
      </w:pPr>
      <w:r>
        <w:t>OTA sensitivity within SBFD time slot</w:t>
      </w:r>
    </w:p>
    <w:tbl>
      <w:tblPr>
        <w:tblStyle w:val="TableGrid"/>
        <w:tblW w:w="0" w:type="auto"/>
        <w:tblLook w:val="04A0" w:firstRow="1" w:lastRow="0" w:firstColumn="1" w:lastColumn="0" w:noHBand="0" w:noVBand="1"/>
      </w:tblPr>
      <w:tblGrid>
        <w:gridCol w:w="9617"/>
      </w:tblGrid>
      <w:tr w:rsidR="008924E4" w14:paraId="09AAB2DF" w14:textId="77777777" w:rsidTr="00064AFB">
        <w:tc>
          <w:tcPr>
            <w:tcW w:w="9617" w:type="dxa"/>
          </w:tcPr>
          <w:p w14:paraId="44D39AC0" w14:textId="77777777" w:rsidR="008924E4" w:rsidRPr="006C7B77" w:rsidRDefault="008924E4" w:rsidP="00064AFB">
            <w:pPr>
              <w:spacing w:before="180" w:after="120"/>
              <w:ind w:left="540"/>
              <w:rPr>
                <w:rFonts w:ascii="Arial" w:eastAsia="Times New Roman" w:hAnsi="Arial" w:cs="Arial"/>
                <w:sz w:val="24"/>
                <w:szCs w:val="24"/>
              </w:rPr>
            </w:pPr>
            <w:r w:rsidRPr="006C7B77">
              <w:rPr>
                <w:rFonts w:ascii="Arial" w:eastAsia="Times New Roman" w:hAnsi="Arial" w:cs="Arial"/>
                <w:sz w:val="24"/>
                <w:szCs w:val="24"/>
              </w:rPr>
              <w:t xml:space="preserve">Issue 4-1-1: OTA sensitivity within SBFD time slot  </w:t>
            </w:r>
          </w:p>
          <w:p w14:paraId="04E48E99" w14:textId="77777777" w:rsidR="008924E4" w:rsidRPr="006C7B77" w:rsidRDefault="008924E4" w:rsidP="00064AFB">
            <w:pPr>
              <w:spacing w:before="80" w:after="80"/>
              <w:ind w:left="540"/>
              <w:rPr>
                <w:rFonts w:eastAsia="Times New Roman" w:cs="Times New Roman"/>
                <w:sz w:val="21"/>
                <w:szCs w:val="21"/>
              </w:rPr>
            </w:pPr>
            <w:r w:rsidRPr="006C7B77">
              <w:rPr>
                <w:rFonts w:eastAsia="Times New Roman" w:cs="Times New Roman"/>
                <w:b/>
                <w:bCs/>
                <w:sz w:val="21"/>
                <w:szCs w:val="21"/>
              </w:rPr>
              <w:t>WF:</w:t>
            </w:r>
          </w:p>
          <w:p w14:paraId="4F3F24B3" w14:textId="77777777" w:rsidR="008924E4" w:rsidRPr="006C7B77" w:rsidRDefault="008924E4" w:rsidP="00064AFB">
            <w:pPr>
              <w:numPr>
                <w:ilvl w:val="0"/>
                <w:numId w:val="31"/>
              </w:numPr>
              <w:spacing w:before="80"/>
              <w:textAlignment w:val="center"/>
              <w:rPr>
                <w:rFonts w:ascii="Calibri" w:eastAsia="Times New Roman" w:hAnsi="Calibri" w:cs="Calibri"/>
                <w:sz w:val="22"/>
                <w:lang w:val="en-GB"/>
              </w:rPr>
            </w:pPr>
            <w:r w:rsidRPr="006C7B77">
              <w:rPr>
                <w:rFonts w:eastAsia="Times New Roman" w:cs="Times New Roman"/>
                <w:sz w:val="21"/>
                <w:szCs w:val="21"/>
                <w:lang w:val="en-GB"/>
              </w:rPr>
              <w:t>OTA sensitivity can be derived based on the following equation as a starting point:</w:t>
            </w:r>
          </w:p>
          <w:p w14:paraId="446FCBCE" w14:textId="77777777" w:rsidR="008924E4" w:rsidRPr="006C7B77" w:rsidRDefault="00000000" w:rsidP="00064AFB">
            <w:pPr>
              <w:spacing w:before="80" w:after="80"/>
              <w:ind w:left="540"/>
              <w:rPr>
                <w:rFonts w:ascii="Cambria Math" w:eastAsia="Times New Roman" w:hAnsi="Cambria Math" w:cs="Calibri"/>
                <w:sz w:val="22"/>
                <w:lang w:val=""/>
              </w:rPr>
            </w:pPr>
            <m:oMathPara>
              <m:oMath>
                <m:func>
                  <m:funcPr>
                    <m:ctrlPr>
                      <w:rPr>
                        <w:rFonts w:ascii="Cambria Math" w:eastAsia="Times New Roman" w:hAnsi="Cambria Math" w:cs="Calibri"/>
                        <w:sz w:val="22"/>
                        <w:lang w:val=""/>
                      </w:rPr>
                    </m:ctrlPr>
                  </m:funcPr>
                  <m:fName>
                    <m:sSub>
                      <m:sSubPr>
                        <m:ctrlPr>
                          <w:rPr>
                            <w:rFonts w:ascii="Cambria Math" w:eastAsia="Times New Roman" w:hAnsi="Cambria Math" w:cs="Calibri"/>
                            <w:sz w:val="22"/>
                            <w:lang w:val=""/>
                          </w:rPr>
                        </m:ctrlPr>
                      </m:sSubPr>
                      <m:e>
                        <m:r>
                          <m:rPr>
                            <m:sty m:val="p"/>
                          </m:rPr>
                          <w:rPr>
                            <w:rFonts w:ascii="Cambria Math" w:eastAsia="Times New Roman" w:hAnsi="Cambria Math" w:cs="Calibri"/>
                            <w:sz w:val="22"/>
                            <w:lang w:val=""/>
                          </w:rPr>
                          <m:t>P</m:t>
                        </m:r>
                      </m:e>
                      <m:sub>
                        <m:r>
                          <m:rPr>
                            <m:sty m:val="p"/>
                          </m:rPr>
                          <w:rPr>
                            <w:rFonts w:ascii="Cambria Math" w:eastAsia="Times New Roman" w:hAnsi="Cambria Math" w:cs="Calibri"/>
                            <w:sz w:val="22"/>
                            <w:lang w:val=""/>
                          </w:rPr>
                          <m:t>REFSENS</m:t>
                        </m:r>
                      </m:sub>
                    </m:sSub>
                    <m:d>
                      <m:dPr>
                        <m:ctrlPr>
                          <w:rPr>
                            <w:rFonts w:ascii="Cambria Math" w:eastAsia="Times New Roman" w:hAnsi="Cambria Math" w:cs="Calibri"/>
                            <w:sz w:val="22"/>
                            <w:lang w:val=""/>
                          </w:rPr>
                        </m:ctrlPr>
                      </m:dPr>
                      <m:e>
                        <m:r>
                          <m:rPr>
                            <m:sty m:val="p"/>
                          </m:rPr>
                          <w:rPr>
                            <w:rFonts w:ascii="Cambria Math" w:eastAsia="Times New Roman" w:hAnsi="Cambria Math" w:cs="Calibri"/>
                            <w:sz w:val="22"/>
                            <w:lang w:val=""/>
                          </w:rPr>
                          <m:t>dBm</m:t>
                        </m:r>
                      </m:e>
                    </m:d>
                    <m:r>
                      <m:rPr>
                        <m:sty m:val="p"/>
                      </m:rPr>
                      <w:rPr>
                        <w:rFonts w:ascii="Cambria Math" w:eastAsia="Times New Roman" w:hAnsi="Cambria Math" w:cs="Calibri"/>
                        <w:sz w:val="22"/>
                        <w:lang w:val=""/>
                      </w:rPr>
                      <m:t>=-174dBm+10×</m:t>
                    </m:r>
                  </m:fName>
                  <m:e>
                    <m:r>
                      <m:rPr>
                        <m:sty m:val="p"/>
                      </m:rPr>
                      <w:rPr>
                        <w:rFonts w:ascii="Cambria Math" w:eastAsia="Times New Roman" w:hAnsi="Cambria Math" w:cs="Calibri"/>
                        <w:sz w:val="22"/>
                        <w:lang w:val=""/>
                      </w:rPr>
                      <m:t>log10</m:t>
                    </m:r>
                  </m:e>
                </m:func>
                <m:r>
                  <m:rPr>
                    <m:sty m:val="p"/>
                  </m:rPr>
                  <w:rPr>
                    <w:rFonts w:ascii="Cambria Math" w:eastAsia="Times New Roman" w:hAnsi="Cambria Math" w:cs="Calibri"/>
                    <w:sz w:val="22"/>
                    <w:lang w:val=""/>
                  </w:rPr>
                  <m:t>(BW)+</m:t>
                </m:r>
                <m:sSub>
                  <m:sSubPr>
                    <m:ctrlPr>
                      <w:rPr>
                        <w:rFonts w:ascii="Cambria Math" w:eastAsia="Times New Roman" w:hAnsi="Cambria Math" w:cs="Calibri"/>
                        <w:sz w:val="22"/>
                        <w:lang w:val=""/>
                      </w:rPr>
                    </m:ctrlPr>
                  </m:sSubPr>
                  <m:e>
                    <m:r>
                      <m:rPr>
                        <m:sty m:val="p"/>
                      </m:rPr>
                      <w:rPr>
                        <w:rFonts w:ascii="Cambria Math" w:eastAsia="Times New Roman" w:hAnsi="Cambria Math" w:cs="Calibri"/>
                        <w:sz w:val="22"/>
                        <w:lang w:val=""/>
                      </w:rPr>
                      <m:t>N</m:t>
                    </m:r>
                  </m:e>
                  <m:sub>
                    <m:r>
                      <m:rPr>
                        <m:sty m:val="p"/>
                      </m:rPr>
                      <w:rPr>
                        <w:rFonts w:ascii="Cambria Math" w:eastAsia="Times New Roman" w:hAnsi="Cambria Math" w:cs="Calibri"/>
                        <w:sz w:val="22"/>
                        <w:lang w:val=""/>
                      </w:rPr>
                      <m:t>F</m:t>
                    </m:r>
                  </m:sub>
                </m:sSub>
                <m:r>
                  <m:rPr>
                    <m:sty m:val="p"/>
                  </m:rPr>
                  <w:rPr>
                    <w:rFonts w:ascii="Cambria Math" w:eastAsia="Times New Roman" w:hAnsi="Cambria Math" w:cs="Calibri"/>
                    <w:sz w:val="22"/>
                    <w:lang w:val=""/>
                  </w:rPr>
                  <m:t>+</m:t>
                </m:r>
                <m:sSub>
                  <m:sSubPr>
                    <m:ctrlPr>
                      <w:rPr>
                        <w:rFonts w:ascii="Cambria Math" w:eastAsia="Times New Roman" w:hAnsi="Cambria Math" w:cs="Calibri"/>
                        <w:sz w:val="22"/>
                        <w:lang w:val=""/>
                      </w:rPr>
                    </m:ctrlPr>
                  </m:sSubPr>
                  <m:e>
                    <m:r>
                      <m:rPr>
                        <m:sty m:val="p"/>
                      </m:rPr>
                      <w:rPr>
                        <w:rFonts w:ascii="Cambria Math" w:eastAsia="Times New Roman" w:hAnsi="Cambria Math" w:cs="Calibri"/>
                        <w:sz w:val="22"/>
                        <w:lang w:val=""/>
                      </w:rPr>
                      <m:t>I</m:t>
                    </m:r>
                  </m:e>
                  <m:sub>
                    <m:r>
                      <m:rPr>
                        <m:sty m:val="p"/>
                      </m:rPr>
                      <w:rPr>
                        <w:rFonts w:ascii="Cambria Math" w:eastAsia="Times New Roman" w:hAnsi="Cambria Math" w:cs="Calibri"/>
                        <w:sz w:val="22"/>
                        <w:lang w:val=""/>
                      </w:rPr>
                      <m:t>M</m:t>
                    </m:r>
                  </m:sub>
                </m:sSub>
                <m:r>
                  <m:rPr>
                    <m:sty m:val="p"/>
                  </m:rPr>
                  <w:rPr>
                    <w:rFonts w:ascii="Cambria Math" w:eastAsia="Times New Roman" w:hAnsi="Cambria Math" w:cs="Calibri"/>
                    <w:sz w:val="22"/>
                    <w:lang w:val=""/>
                  </w:rPr>
                  <m:t>+SNR+[ 1dB desens target]</m:t>
                </m:r>
              </m:oMath>
            </m:oMathPara>
          </w:p>
          <w:p w14:paraId="0FEA8371" w14:textId="77777777" w:rsidR="008924E4" w:rsidRPr="006C7B77" w:rsidRDefault="008924E4" w:rsidP="00064AFB">
            <w:pPr>
              <w:numPr>
                <w:ilvl w:val="0"/>
                <w:numId w:val="32"/>
              </w:numPr>
              <w:spacing w:before="120" w:after="20"/>
              <w:textAlignment w:val="center"/>
              <w:rPr>
                <w:rFonts w:ascii="Calibri" w:eastAsia="Times New Roman" w:hAnsi="Calibri" w:cs="Calibri"/>
                <w:sz w:val="22"/>
              </w:rPr>
            </w:pPr>
            <w:r w:rsidRPr="006C7B77">
              <w:rPr>
                <w:rFonts w:eastAsia="Times New Roman" w:cs="Times New Roman"/>
                <w:sz w:val="21"/>
                <w:szCs w:val="21"/>
              </w:rPr>
              <w:t>The followings should be discussed further</w:t>
            </w:r>
          </w:p>
          <w:p w14:paraId="32C14537" w14:textId="77777777" w:rsidR="008924E4" w:rsidRPr="006C7B77" w:rsidRDefault="008924E4" w:rsidP="00064AFB">
            <w:pPr>
              <w:numPr>
                <w:ilvl w:val="1"/>
                <w:numId w:val="32"/>
              </w:numPr>
              <w:spacing w:before="120" w:after="20"/>
              <w:textAlignment w:val="center"/>
              <w:rPr>
                <w:rFonts w:ascii="Calibri" w:eastAsia="Times New Roman" w:hAnsi="Calibri" w:cs="Calibri"/>
                <w:sz w:val="22"/>
              </w:rPr>
            </w:pPr>
            <w:r w:rsidRPr="006C7B77">
              <w:rPr>
                <w:rFonts w:eastAsia="Times New Roman" w:cs="Times New Roman"/>
                <w:sz w:val="21"/>
                <w:szCs w:val="21"/>
              </w:rPr>
              <w:t>The exact value for [</w:t>
            </w:r>
            <m:oMath>
              <m:r>
                <m:rPr>
                  <m:sty m:val="p"/>
                </m:rPr>
                <w:rPr>
                  <w:rFonts w:ascii="Cambria Math" w:eastAsia="Times New Roman" w:hAnsi="Cambria Math" w:cs="Calibri"/>
                  <w:sz w:val="22"/>
                </w:rPr>
                <m:t>1dB desens target</m:t>
              </m:r>
            </m:oMath>
            <w:r w:rsidRPr="006C7B77">
              <w:rPr>
                <w:rFonts w:eastAsia="Times New Roman" w:cs="Times New Roman"/>
                <w:sz w:val="21"/>
                <w:szCs w:val="21"/>
                <w:lang w:val="en-GB"/>
              </w:rPr>
              <w:t>]</w:t>
            </w:r>
          </w:p>
          <w:p w14:paraId="3B892D8A" w14:textId="77777777" w:rsidR="008924E4" w:rsidRPr="006C7B77" w:rsidRDefault="008924E4" w:rsidP="00064AFB">
            <w:pPr>
              <w:numPr>
                <w:ilvl w:val="1"/>
                <w:numId w:val="32"/>
              </w:numPr>
              <w:spacing w:before="120" w:after="20"/>
              <w:textAlignment w:val="center"/>
              <w:rPr>
                <w:rFonts w:ascii="Calibri" w:eastAsia="Times New Roman" w:hAnsi="Calibri" w:cs="Calibri"/>
                <w:sz w:val="22"/>
                <w:lang w:val="en-GB"/>
              </w:rPr>
            </w:pPr>
            <w:r w:rsidRPr="006C7B77">
              <w:rPr>
                <w:rFonts w:eastAsia="Times New Roman" w:cs="Times New Roman"/>
                <w:sz w:val="21"/>
                <w:szCs w:val="21"/>
                <w:lang w:val="en-GB"/>
              </w:rPr>
              <w:lastRenderedPageBreak/>
              <w:t>The declaration of maximum TRP for the requirement of OTA sensitivity within SBFD time slot</w:t>
            </w:r>
          </w:p>
          <w:p w14:paraId="18A4E9D1" w14:textId="77777777" w:rsidR="008924E4" w:rsidRPr="00064AFB" w:rsidRDefault="008924E4" w:rsidP="00064AFB">
            <w:pPr>
              <w:numPr>
                <w:ilvl w:val="1"/>
                <w:numId w:val="32"/>
              </w:numPr>
              <w:spacing w:before="120" w:after="20"/>
              <w:textAlignment w:val="center"/>
              <w:rPr>
                <w:rFonts w:ascii="Calibri" w:eastAsia="Times New Roman" w:hAnsi="Calibri" w:cs="Calibri"/>
                <w:sz w:val="22"/>
                <w:lang w:val="en-GB"/>
              </w:rPr>
            </w:pPr>
            <w:r w:rsidRPr="006C7B77">
              <w:rPr>
                <w:rFonts w:eastAsia="Times New Roman" w:cs="Times New Roman"/>
                <w:sz w:val="21"/>
                <w:szCs w:val="21"/>
                <w:lang w:val="en-GB"/>
              </w:rPr>
              <w:t>If OTA sensitivity should be defined considering all of the scenarios including self-interference, inter-site interference and inter-sector interference.</w:t>
            </w:r>
          </w:p>
        </w:tc>
      </w:tr>
    </w:tbl>
    <w:p w14:paraId="3F902064" w14:textId="77777777" w:rsidR="008924E4" w:rsidRPr="003705C5" w:rsidRDefault="008924E4" w:rsidP="008924E4"/>
    <w:p w14:paraId="17376EAD" w14:textId="77777777" w:rsidR="008924E4" w:rsidRPr="008C39F7" w:rsidRDefault="008924E4" w:rsidP="008924E4">
      <w:r w:rsidRPr="009263AC">
        <w:t>Receiver sensitivity degradation in SBFD systems has been agreed to be maximum of 1dB for the purposes of the feasibility study</w:t>
      </w:r>
      <w:r>
        <w:t>. Therefore, we feel strongly that the 1dB desensitization budget should not be used entirely for self-interference as there are other sources of interference causing receiver sensitivity degradation. If only self-interference would be considered here, then the value should be less than 0.5dB to leave margin for desensitization caused by other interference. If all interferences all considered in this value, it can be accepted to be 1dB.</w:t>
      </w:r>
    </w:p>
    <w:p w14:paraId="449DAE3A" w14:textId="77777777" w:rsidR="008924E4" w:rsidRPr="008C39F7" w:rsidRDefault="008924E4" w:rsidP="008924E4">
      <w:pPr>
        <w:pStyle w:val="RAN4observation0"/>
      </w:pPr>
      <w:r>
        <w:t xml:space="preserve"> If all interferences are considered, then 1dB is accepted. If only self-interference is considered, then 0.5dB is accepted.</w:t>
      </w:r>
    </w:p>
    <w:p w14:paraId="349A3D8D" w14:textId="18035D81" w:rsidR="007E042E" w:rsidRPr="00A14B93" w:rsidRDefault="007E042E" w:rsidP="00A14B93">
      <w:pPr>
        <w:pStyle w:val="RAN4Observation"/>
        <w:numPr>
          <w:ilvl w:val="0"/>
          <w:numId w:val="0"/>
        </w:numPr>
        <w:rPr>
          <w:b/>
          <w:bCs/>
        </w:rPr>
      </w:pPr>
      <w:r w:rsidRPr="00A14B93">
        <w:rPr>
          <w:b/>
          <w:bCs/>
        </w:rPr>
        <w:t xml:space="preserve">Proposal 1: </w:t>
      </w:r>
      <w:bookmarkStart w:id="6" w:name="_Hlk135059341"/>
      <w:r>
        <w:rPr>
          <w:b/>
          <w:bCs/>
        </w:rPr>
        <w:t>Use up to 0.5dB for self-interference only and 1dB for considering desensitization from all interferences</w:t>
      </w:r>
      <w:bookmarkEnd w:id="6"/>
    </w:p>
    <w:p w14:paraId="3E5B14B4" w14:textId="77777777" w:rsidR="008924E4" w:rsidRPr="008924E4" w:rsidRDefault="008924E4" w:rsidP="00342F37"/>
    <w:p w14:paraId="7ACFB755" w14:textId="41B4FDA5" w:rsidR="00CB22B2" w:rsidRDefault="008924E4" w:rsidP="00496606">
      <w:pPr>
        <w:pStyle w:val="RAN4H2"/>
      </w:pPr>
      <w:r w:rsidRPr="00BD4846">
        <w:t xml:space="preserve">In-channel adjacent </w:t>
      </w:r>
      <w:proofErr w:type="spellStart"/>
      <w:r w:rsidRPr="00BD4846">
        <w:t>subband</w:t>
      </w:r>
      <w:proofErr w:type="spellEnd"/>
      <w:r w:rsidRPr="00BD4846">
        <w:t xml:space="preserve"> leakage ratio, In-channel adjacent </w:t>
      </w:r>
      <w:proofErr w:type="spellStart"/>
      <w:r w:rsidRPr="00BD4846">
        <w:t>subband</w:t>
      </w:r>
      <w:proofErr w:type="spellEnd"/>
      <w:r w:rsidRPr="00BD4846">
        <w:t xml:space="preserve"> Blocking and adjacent </w:t>
      </w:r>
      <w:proofErr w:type="spellStart"/>
      <w:r w:rsidRPr="00BD4846">
        <w:t>subband</w:t>
      </w:r>
      <w:proofErr w:type="spellEnd"/>
      <w:r w:rsidRPr="00BD4846">
        <w:t xml:space="preserve"> selectivity within SBFD time slot </w:t>
      </w:r>
    </w:p>
    <w:p w14:paraId="0E5B0574" w14:textId="7A446EFB" w:rsidR="008924E4" w:rsidRDefault="008924E4" w:rsidP="00406652"/>
    <w:tbl>
      <w:tblPr>
        <w:tblStyle w:val="TableGrid"/>
        <w:tblW w:w="0" w:type="auto"/>
        <w:tblLook w:val="04A0" w:firstRow="1" w:lastRow="0" w:firstColumn="1" w:lastColumn="0" w:noHBand="0" w:noVBand="1"/>
      </w:tblPr>
      <w:tblGrid>
        <w:gridCol w:w="9617"/>
      </w:tblGrid>
      <w:tr w:rsidR="008924E4" w14:paraId="57E01E92" w14:textId="77777777" w:rsidTr="00064AFB">
        <w:tc>
          <w:tcPr>
            <w:tcW w:w="9617" w:type="dxa"/>
          </w:tcPr>
          <w:p w14:paraId="7E8BB157" w14:textId="77777777" w:rsidR="008924E4" w:rsidRPr="006C7B77" w:rsidRDefault="008924E4" w:rsidP="00064AFB">
            <w:pPr>
              <w:spacing w:before="180" w:after="120"/>
              <w:ind w:left="540"/>
              <w:rPr>
                <w:rFonts w:ascii="Arial" w:eastAsia="Times New Roman" w:hAnsi="Arial" w:cs="Arial"/>
                <w:sz w:val="24"/>
                <w:szCs w:val="24"/>
              </w:rPr>
            </w:pPr>
            <w:r w:rsidRPr="006C7B77">
              <w:rPr>
                <w:rFonts w:ascii="Arial" w:eastAsia="Times New Roman" w:hAnsi="Arial" w:cs="Arial"/>
                <w:sz w:val="24"/>
                <w:szCs w:val="24"/>
              </w:rPr>
              <w:t xml:space="preserve">Issue 4-1-2: In-channel adjacent </w:t>
            </w:r>
            <w:proofErr w:type="spellStart"/>
            <w:r w:rsidRPr="006C7B77">
              <w:rPr>
                <w:rFonts w:ascii="Arial" w:eastAsia="Times New Roman" w:hAnsi="Arial" w:cs="Arial"/>
                <w:sz w:val="24"/>
                <w:szCs w:val="24"/>
              </w:rPr>
              <w:t>subband</w:t>
            </w:r>
            <w:proofErr w:type="spellEnd"/>
            <w:r w:rsidRPr="006C7B77">
              <w:rPr>
                <w:rFonts w:ascii="Arial" w:eastAsia="Times New Roman" w:hAnsi="Arial" w:cs="Arial"/>
                <w:sz w:val="24"/>
                <w:szCs w:val="24"/>
              </w:rPr>
              <w:t xml:space="preserve"> leakage ratio, In-channel adjacent </w:t>
            </w:r>
            <w:proofErr w:type="spellStart"/>
            <w:r w:rsidRPr="006C7B77">
              <w:rPr>
                <w:rFonts w:ascii="Arial" w:eastAsia="Times New Roman" w:hAnsi="Arial" w:cs="Arial"/>
                <w:sz w:val="24"/>
                <w:szCs w:val="24"/>
              </w:rPr>
              <w:t>subband</w:t>
            </w:r>
            <w:proofErr w:type="spellEnd"/>
            <w:r w:rsidRPr="006C7B77">
              <w:rPr>
                <w:rFonts w:ascii="Arial" w:eastAsia="Times New Roman" w:hAnsi="Arial" w:cs="Arial"/>
                <w:sz w:val="24"/>
                <w:szCs w:val="24"/>
              </w:rPr>
              <w:t xml:space="preserve"> Blocking and adjacent </w:t>
            </w:r>
            <w:proofErr w:type="spellStart"/>
            <w:r w:rsidRPr="006C7B77">
              <w:rPr>
                <w:rFonts w:ascii="Arial" w:eastAsia="Times New Roman" w:hAnsi="Arial" w:cs="Arial"/>
                <w:sz w:val="24"/>
                <w:szCs w:val="24"/>
              </w:rPr>
              <w:t>subband</w:t>
            </w:r>
            <w:proofErr w:type="spellEnd"/>
            <w:r w:rsidRPr="006C7B77">
              <w:rPr>
                <w:rFonts w:ascii="Arial" w:eastAsia="Times New Roman" w:hAnsi="Arial" w:cs="Arial"/>
                <w:sz w:val="24"/>
                <w:szCs w:val="24"/>
              </w:rPr>
              <w:t xml:space="preserve"> selectivity within SBFD time slot  </w:t>
            </w:r>
          </w:p>
          <w:p w14:paraId="501F5C5A" w14:textId="77777777" w:rsidR="008924E4" w:rsidRPr="006C7B77" w:rsidRDefault="008924E4" w:rsidP="00064AFB">
            <w:pPr>
              <w:spacing w:before="80" w:after="80"/>
              <w:ind w:left="540"/>
              <w:rPr>
                <w:rFonts w:eastAsia="Times New Roman" w:cs="Times New Roman"/>
                <w:sz w:val="21"/>
                <w:szCs w:val="21"/>
              </w:rPr>
            </w:pPr>
            <w:r w:rsidRPr="006C7B77">
              <w:rPr>
                <w:rFonts w:eastAsia="Times New Roman" w:cs="Times New Roman"/>
                <w:b/>
                <w:bCs/>
                <w:sz w:val="21"/>
                <w:szCs w:val="21"/>
              </w:rPr>
              <w:t>WF:</w:t>
            </w:r>
          </w:p>
          <w:p w14:paraId="5E26CB60" w14:textId="77777777" w:rsidR="008924E4" w:rsidRPr="006C7B77" w:rsidRDefault="008924E4" w:rsidP="00064AFB">
            <w:pPr>
              <w:numPr>
                <w:ilvl w:val="0"/>
                <w:numId w:val="33"/>
              </w:numPr>
              <w:spacing w:before="80"/>
              <w:textAlignment w:val="center"/>
              <w:rPr>
                <w:rFonts w:ascii="Calibri" w:eastAsia="Times New Roman" w:hAnsi="Calibri" w:cs="Calibri"/>
                <w:sz w:val="22"/>
                <w:lang w:val="en-GB"/>
              </w:rPr>
            </w:pPr>
            <w:r w:rsidRPr="006C7B77">
              <w:rPr>
                <w:rFonts w:eastAsia="Times New Roman" w:cs="Times New Roman"/>
                <w:sz w:val="21"/>
                <w:szCs w:val="21"/>
                <w:lang w:val="en-GB"/>
              </w:rPr>
              <w:t>FFS if these requirements need to be defined.</w:t>
            </w:r>
          </w:p>
          <w:p w14:paraId="1155042F" w14:textId="77777777" w:rsidR="008924E4" w:rsidRPr="006C7B77" w:rsidRDefault="008924E4" w:rsidP="00064AFB">
            <w:pPr>
              <w:numPr>
                <w:ilvl w:val="0"/>
                <w:numId w:val="33"/>
              </w:numPr>
              <w:spacing w:before="80"/>
              <w:textAlignment w:val="center"/>
              <w:rPr>
                <w:rFonts w:ascii="Calibri" w:eastAsia="Times New Roman" w:hAnsi="Calibri" w:cs="Calibri"/>
                <w:sz w:val="22"/>
                <w:lang w:val="en-GB"/>
              </w:rPr>
            </w:pPr>
            <w:r w:rsidRPr="006C7B77">
              <w:rPr>
                <w:rFonts w:eastAsia="Times New Roman" w:cs="Times New Roman"/>
                <w:sz w:val="21"/>
                <w:szCs w:val="21"/>
                <w:lang w:val="en-GB"/>
              </w:rPr>
              <w:t>The following aspects are mentioned during the discussion in this meeting,</w:t>
            </w:r>
          </w:p>
          <w:p w14:paraId="058E3E8B" w14:textId="77777777" w:rsidR="008924E4" w:rsidRPr="006C7B77" w:rsidRDefault="008924E4" w:rsidP="00064AFB">
            <w:pPr>
              <w:numPr>
                <w:ilvl w:val="1"/>
                <w:numId w:val="33"/>
              </w:numPr>
              <w:spacing w:before="120" w:after="20"/>
              <w:textAlignment w:val="center"/>
              <w:rPr>
                <w:rFonts w:ascii="Calibri" w:eastAsia="Times New Roman" w:hAnsi="Calibri" w:cs="Calibri"/>
                <w:sz w:val="22"/>
              </w:rPr>
            </w:pPr>
            <w:r w:rsidRPr="006C7B77">
              <w:rPr>
                <w:rFonts w:eastAsia="Times New Roman" w:cs="Times New Roman"/>
                <w:sz w:val="21"/>
                <w:szCs w:val="21"/>
              </w:rPr>
              <w:t>The potential request from the performance insurance when considering inter-site and inter-sector BS interference.</w:t>
            </w:r>
          </w:p>
          <w:p w14:paraId="3D020834" w14:textId="77777777" w:rsidR="008924E4" w:rsidRPr="006C7B77" w:rsidRDefault="008924E4" w:rsidP="00064AFB">
            <w:pPr>
              <w:numPr>
                <w:ilvl w:val="1"/>
                <w:numId w:val="33"/>
              </w:numPr>
              <w:spacing w:before="120" w:after="20"/>
              <w:textAlignment w:val="center"/>
              <w:rPr>
                <w:rFonts w:ascii="Calibri" w:eastAsia="Times New Roman" w:hAnsi="Calibri" w:cs="Calibri"/>
                <w:sz w:val="22"/>
              </w:rPr>
            </w:pPr>
            <w:r w:rsidRPr="006C7B77">
              <w:rPr>
                <w:rFonts w:eastAsia="Times New Roman" w:cs="Times New Roman"/>
                <w:sz w:val="21"/>
                <w:szCs w:val="21"/>
              </w:rPr>
              <w:t>The possibility of adding inter-site and/or inter-sector BS interference into the OTA sensitivity test</w:t>
            </w:r>
          </w:p>
          <w:p w14:paraId="12018517" w14:textId="77777777" w:rsidR="008924E4" w:rsidRPr="006C7B77" w:rsidRDefault="008924E4" w:rsidP="00064AFB">
            <w:pPr>
              <w:numPr>
                <w:ilvl w:val="1"/>
                <w:numId w:val="33"/>
              </w:numPr>
              <w:spacing w:before="120" w:after="20"/>
              <w:textAlignment w:val="center"/>
              <w:rPr>
                <w:rFonts w:ascii="Calibri" w:eastAsia="Times New Roman" w:hAnsi="Calibri" w:cs="Calibri"/>
                <w:sz w:val="22"/>
              </w:rPr>
            </w:pPr>
            <w:r w:rsidRPr="006C7B77">
              <w:rPr>
                <w:rFonts w:eastAsia="Times New Roman" w:cs="Times New Roman"/>
                <w:sz w:val="21"/>
                <w:szCs w:val="21"/>
              </w:rPr>
              <w:t>The assumption of BS-BS isolation</w:t>
            </w:r>
          </w:p>
          <w:p w14:paraId="5F5B80CC" w14:textId="77777777" w:rsidR="008924E4" w:rsidRPr="006C7B77" w:rsidRDefault="008924E4" w:rsidP="00064AFB">
            <w:pPr>
              <w:numPr>
                <w:ilvl w:val="1"/>
                <w:numId w:val="33"/>
              </w:numPr>
              <w:spacing w:before="120" w:after="20"/>
              <w:textAlignment w:val="center"/>
              <w:rPr>
                <w:rFonts w:ascii="Calibri" w:eastAsia="Times New Roman" w:hAnsi="Calibri" w:cs="Calibri"/>
                <w:sz w:val="22"/>
              </w:rPr>
            </w:pPr>
            <w:r w:rsidRPr="006C7B77">
              <w:rPr>
                <w:rFonts w:eastAsia="Times New Roman" w:cs="Times New Roman"/>
                <w:sz w:val="21"/>
                <w:szCs w:val="21"/>
              </w:rPr>
              <w:t>The adopted interference suppression technology</w:t>
            </w:r>
          </w:p>
          <w:p w14:paraId="5468E9D9" w14:textId="77777777" w:rsidR="008924E4" w:rsidRPr="00064AFB" w:rsidRDefault="008924E4" w:rsidP="00064AFB">
            <w:pPr>
              <w:numPr>
                <w:ilvl w:val="1"/>
                <w:numId w:val="33"/>
              </w:numPr>
              <w:spacing w:before="120" w:after="20"/>
              <w:textAlignment w:val="center"/>
              <w:rPr>
                <w:rFonts w:ascii="Calibri" w:eastAsia="Times New Roman" w:hAnsi="Calibri" w:cs="Calibri"/>
                <w:sz w:val="22"/>
              </w:rPr>
            </w:pPr>
            <w:r w:rsidRPr="006C7B77">
              <w:rPr>
                <w:rFonts w:eastAsia="Times New Roman" w:cs="Times New Roman"/>
                <w:sz w:val="21"/>
                <w:szCs w:val="21"/>
              </w:rPr>
              <w:t>Whether or not these requirements can be implicitly guaranteed by OTA sensitivity requirement</w:t>
            </w:r>
          </w:p>
        </w:tc>
      </w:tr>
    </w:tbl>
    <w:p w14:paraId="4C01A0BA" w14:textId="77777777" w:rsidR="008924E4" w:rsidRDefault="008924E4" w:rsidP="008924E4"/>
    <w:p w14:paraId="757FE9AA" w14:textId="77777777" w:rsidR="008924E4" w:rsidRPr="008C39F7" w:rsidRDefault="008924E4" w:rsidP="008924E4">
      <w:r>
        <w:t xml:space="preserve">These requirements are needed to </w:t>
      </w:r>
      <w:r w:rsidRPr="00BD4846">
        <w:t>ensure interoperability between base stations of different vendors in the same network</w:t>
      </w:r>
      <w:r>
        <w:t xml:space="preserve">. They cannot be implicitly guaranteed by OTA sensitivity requirement. It </w:t>
      </w:r>
      <w:r w:rsidRPr="00BD4846">
        <w:t>is easier to cancel the effects inside your base station, whereas from other base stations you have no cancellation options.</w:t>
      </w:r>
      <w:r>
        <w:t xml:space="preserve"> Inter-site and inter-sector BS interference should be taken into consideration in OTA sensitivity test and </w:t>
      </w:r>
      <w:r w:rsidRPr="00E121FA">
        <w:t>same source direction for wanted and interfering signal</w:t>
      </w:r>
      <w:r>
        <w:t xml:space="preserve"> should be used. </w:t>
      </w:r>
      <w:r w:rsidRPr="00EC207B">
        <w:t>BS-to-BS isolation is irrelevant, if we define the test requirements for inter-</w:t>
      </w:r>
      <w:proofErr w:type="spellStart"/>
      <w:r w:rsidRPr="00EC207B">
        <w:t>subband</w:t>
      </w:r>
      <w:proofErr w:type="spellEnd"/>
      <w:r w:rsidRPr="00EC207B">
        <w:t xml:space="preserve"> performance. </w:t>
      </w:r>
      <w:proofErr w:type="gramStart"/>
      <w:r w:rsidRPr="00EC207B">
        <w:t>E.g.</w:t>
      </w:r>
      <w:proofErr w:type="gramEnd"/>
      <w:r w:rsidRPr="00EC207B">
        <w:t xml:space="preserve"> 45 dB as the requirement -&gt; test case sets the interfering signal level accordingly -&gt; no need to assume any isolation value.</w:t>
      </w:r>
      <w:r>
        <w:t xml:space="preserve"> Adopted interference suppression technologies have not been agreed yet in the SI and therefore such technologies should not be assumed here.</w:t>
      </w:r>
    </w:p>
    <w:p w14:paraId="473426C1" w14:textId="55E21FD9" w:rsidR="008924E4" w:rsidRDefault="008924E4" w:rsidP="008924E4">
      <w:pPr>
        <w:pStyle w:val="RAN4observation0"/>
      </w:pPr>
      <w:r>
        <w:t xml:space="preserve"> Additional requirements</w:t>
      </w:r>
      <w:r w:rsidRPr="006877D8">
        <w:t xml:space="preserve"> </w:t>
      </w:r>
      <w:r>
        <w:t>are needed to be defined as they cannot be implicitly guaranteed by OTA sensitivity</w:t>
      </w:r>
    </w:p>
    <w:p w14:paraId="36BF87AA" w14:textId="37B4B671" w:rsidR="008924E4" w:rsidRPr="008C39F7" w:rsidRDefault="00F81B38" w:rsidP="00A14B93">
      <w:pPr>
        <w:pStyle w:val="RAN4proposal"/>
        <w:numPr>
          <w:ilvl w:val="0"/>
          <w:numId w:val="0"/>
        </w:numPr>
      </w:pPr>
      <w:r w:rsidRPr="00064AFB">
        <w:rPr>
          <w:bCs/>
        </w:rPr>
        <w:lastRenderedPageBreak/>
        <w:t xml:space="preserve">Proposal </w:t>
      </w:r>
      <w:r>
        <w:rPr>
          <w:bCs/>
        </w:rPr>
        <w:t>2</w:t>
      </w:r>
      <w:r w:rsidRPr="00064AFB">
        <w:rPr>
          <w:bCs/>
        </w:rPr>
        <w:t xml:space="preserve">: </w:t>
      </w:r>
      <w:r>
        <w:t xml:space="preserve">There is a need to define additional requirements within SBFD time slot with </w:t>
      </w:r>
      <w:r w:rsidR="009C3B1D">
        <w:t>i</w:t>
      </w:r>
      <w:r>
        <w:t xml:space="preserve">n-channel adjacent </w:t>
      </w:r>
      <w:proofErr w:type="spellStart"/>
      <w:r>
        <w:t>subband</w:t>
      </w:r>
      <w:proofErr w:type="spellEnd"/>
      <w:r>
        <w:t xml:space="preserve"> leakage ratio and blocking being the most important ones</w:t>
      </w:r>
    </w:p>
    <w:p w14:paraId="5EA14A45" w14:textId="77777777" w:rsidR="0060543D" w:rsidRPr="008C39F7" w:rsidRDefault="0060543D" w:rsidP="0060543D"/>
    <w:p w14:paraId="6CAB1BD2" w14:textId="77777777" w:rsidR="00CD7492" w:rsidRPr="008C39F7" w:rsidRDefault="00CD7492" w:rsidP="00A37002">
      <w:pPr>
        <w:pStyle w:val="RAN4H1"/>
      </w:pPr>
      <w:bookmarkStart w:id="7" w:name="_Toc116995848"/>
      <w:r w:rsidRPr="008C39F7">
        <w:t>Conclusion</w:t>
      </w:r>
      <w:bookmarkEnd w:id="7"/>
    </w:p>
    <w:p w14:paraId="746AA9BE" w14:textId="19BBB9C4" w:rsidR="00D5270B" w:rsidRPr="00A14B93" w:rsidRDefault="009C3B1D" w:rsidP="00936159">
      <w:r w:rsidRPr="009C3B1D">
        <w:t xml:space="preserve">This contribution presents our further views on the SBFD BS RF requirements aspects. The following </w:t>
      </w:r>
      <w:r>
        <w:t xml:space="preserve">observations and </w:t>
      </w:r>
      <w:r w:rsidRPr="009C3B1D">
        <w:t>proposals were made:</w:t>
      </w:r>
    </w:p>
    <w:p w14:paraId="3AFEDADB" w14:textId="7C89128B" w:rsidR="008C39F7" w:rsidRPr="008C39F7" w:rsidRDefault="00A4355E">
      <w:pPr>
        <w:pStyle w:val="TOC4"/>
        <w:tabs>
          <w:tab w:val="right" w:leader="dot" w:pos="9617"/>
        </w:tabs>
        <w:rPr>
          <w:rFonts w:asciiTheme="minorHAnsi" w:eastAsiaTheme="minorEastAsia" w:hAnsiTheme="minorHAnsi"/>
          <w:sz w:val="22"/>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2796768" w:history="1">
        <w:r w:rsidR="008C39F7" w:rsidRPr="008C39F7">
          <w:rPr>
            <w:rStyle w:val="Hyperlink"/>
            <w:b/>
          </w:rPr>
          <w:t>Observation 1:</w:t>
        </w:r>
        <w:r w:rsidR="008C39F7" w:rsidRPr="008C39F7">
          <w:rPr>
            <w:rStyle w:val="Hyperlink"/>
          </w:rPr>
          <w:t xml:space="preserve"> </w:t>
        </w:r>
        <w:r w:rsidR="00F81B38" w:rsidRPr="00F81B38">
          <w:rPr>
            <w:rStyle w:val="Hyperlink"/>
          </w:rPr>
          <w:t>If all interferences are considered, then 1dB is accepted. If only self-interference is considered, then 0.5dB is accepted.</w:t>
        </w:r>
      </w:hyperlink>
    </w:p>
    <w:p w14:paraId="5E1ECEB6" w14:textId="31994992" w:rsidR="008C39F7" w:rsidRPr="008C39F7" w:rsidRDefault="00000000">
      <w:pPr>
        <w:pStyle w:val="TOC5"/>
        <w:tabs>
          <w:tab w:val="right" w:leader="dot" w:pos="9617"/>
        </w:tabs>
        <w:rPr>
          <w:rFonts w:asciiTheme="minorHAnsi" w:eastAsiaTheme="minorEastAsia" w:hAnsiTheme="minorHAnsi"/>
          <w:b w:val="0"/>
          <w:sz w:val="22"/>
        </w:rPr>
      </w:pPr>
      <w:hyperlink w:anchor="_Toc132796769" w:history="1">
        <w:r w:rsidR="008C39F7" w:rsidRPr="008C39F7">
          <w:rPr>
            <w:rStyle w:val="Hyperlink"/>
          </w:rPr>
          <w:t xml:space="preserve">Proposal 1: </w:t>
        </w:r>
        <w:r w:rsidR="00F81B38" w:rsidRPr="00F81B38">
          <w:rPr>
            <w:rStyle w:val="Hyperlink"/>
          </w:rPr>
          <w:t>Use up to 0.5dB for self-interference only and</w:t>
        </w:r>
        <w:r w:rsidR="00F81B38">
          <w:rPr>
            <w:rStyle w:val="Hyperlink"/>
          </w:rPr>
          <w:t xml:space="preserve"> maximum of</w:t>
        </w:r>
        <w:r w:rsidR="00F81B38" w:rsidRPr="00F81B38">
          <w:rPr>
            <w:rStyle w:val="Hyperlink"/>
          </w:rPr>
          <w:t xml:space="preserve"> 1dB for considering desensitization from all interferences</w:t>
        </w:r>
        <w:r w:rsidR="00F81B38" w:rsidRPr="00F81B38" w:rsidDel="00F81B38">
          <w:rPr>
            <w:rStyle w:val="Hyperlink"/>
          </w:rPr>
          <w:t xml:space="preserve"> </w:t>
        </w:r>
      </w:hyperlink>
    </w:p>
    <w:p w14:paraId="5EECFD13" w14:textId="60A82F3E" w:rsidR="008C39F7" w:rsidRPr="008C39F7" w:rsidRDefault="00000000">
      <w:pPr>
        <w:pStyle w:val="TOC4"/>
        <w:tabs>
          <w:tab w:val="right" w:leader="dot" w:pos="9617"/>
        </w:tabs>
        <w:rPr>
          <w:rFonts w:asciiTheme="minorHAnsi" w:eastAsiaTheme="minorEastAsia" w:hAnsiTheme="minorHAnsi"/>
          <w:sz w:val="22"/>
        </w:rPr>
      </w:pPr>
      <w:hyperlink w:anchor="_Toc132796770" w:history="1">
        <w:r w:rsidR="008C39F7" w:rsidRPr="008C39F7">
          <w:rPr>
            <w:rStyle w:val="Hyperlink"/>
            <w:b/>
          </w:rPr>
          <w:t>Observation 2:</w:t>
        </w:r>
        <w:r w:rsidR="008C39F7" w:rsidRPr="008C39F7">
          <w:rPr>
            <w:rStyle w:val="Hyperlink"/>
          </w:rPr>
          <w:t xml:space="preserve"> </w:t>
        </w:r>
        <w:r w:rsidR="00F81B38" w:rsidRPr="00F81B38">
          <w:rPr>
            <w:rStyle w:val="Hyperlink"/>
          </w:rPr>
          <w:t>Additional requirements are needed to be defined as they cannot be implicitly guaranteed by OTA sensitivity</w:t>
        </w:r>
      </w:hyperlink>
    </w:p>
    <w:p w14:paraId="44B59D64" w14:textId="0A70D742" w:rsidR="008C39F7" w:rsidRPr="008C39F7" w:rsidRDefault="00000000">
      <w:pPr>
        <w:pStyle w:val="TOC5"/>
        <w:tabs>
          <w:tab w:val="right" w:leader="dot" w:pos="9617"/>
        </w:tabs>
        <w:rPr>
          <w:rFonts w:asciiTheme="minorHAnsi" w:eastAsiaTheme="minorEastAsia" w:hAnsiTheme="minorHAnsi"/>
          <w:b w:val="0"/>
          <w:sz w:val="22"/>
        </w:rPr>
      </w:pPr>
      <w:hyperlink w:anchor="_Toc132796771" w:history="1">
        <w:r w:rsidR="008C39F7" w:rsidRPr="008C39F7">
          <w:rPr>
            <w:rStyle w:val="Hyperlink"/>
          </w:rPr>
          <w:t xml:space="preserve">Proposal 2: </w:t>
        </w:r>
        <w:r w:rsidR="00F81B38" w:rsidRPr="00F81B38">
          <w:rPr>
            <w:rStyle w:val="Hyperlink"/>
          </w:rPr>
          <w:t xml:space="preserve">There is a need to define additional requirements within SBFD time slot with </w:t>
        </w:r>
        <w:r w:rsidR="009C3B1D">
          <w:rPr>
            <w:rStyle w:val="Hyperlink"/>
          </w:rPr>
          <w:t>i</w:t>
        </w:r>
        <w:r w:rsidR="00F81B38" w:rsidRPr="00F81B38">
          <w:rPr>
            <w:rStyle w:val="Hyperlink"/>
          </w:rPr>
          <w:t>n-channel adjacent subband leakage ratio and blocking being the most important ones</w:t>
        </w:r>
        <w:r w:rsidR="00F81B38" w:rsidRPr="00F81B38" w:rsidDel="00F81B38">
          <w:rPr>
            <w:rStyle w:val="Hyperlink"/>
          </w:rPr>
          <w:t xml:space="preserve"> </w:t>
        </w:r>
      </w:hyperlink>
    </w:p>
    <w:p w14:paraId="0663D6DB" w14:textId="77777777" w:rsidR="008C39F7" w:rsidRPr="008C39F7" w:rsidRDefault="00A4355E" w:rsidP="008C39F7">
      <w:r w:rsidRPr="008C39F7">
        <w:fldChar w:fldCharType="end"/>
      </w:r>
      <w:bookmarkStart w:id="8" w:name="_Toc116995849"/>
    </w:p>
    <w:p w14:paraId="3F3634A6" w14:textId="77777777" w:rsidR="003B659E" w:rsidRPr="008C39F7" w:rsidRDefault="003B659E" w:rsidP="0060543D">
      <w:pPr>
        <w:pStyle w:val="RAN4H1"/>
        <w:numPr>
          <w:ilvl w:val="0"/>
          <w:numId w:val="0"/>
        </w:numPr>
        <w:ind w:left="360" w:hanging="360"/>
      </w:pPr>
      <w:r w:rsidRPr="008C39F7">
        <w:t>References</w:t>
      </w:r>
      <w:bookmarkEnd w:id="8"/>
    </w:p>
    <w:p w14:paraId="140DE7D6" w14:textId="7016B76D" w:rsidR="007649E4" w:rsidRDefault="00845F41" w:rsidP="00D66188">
      <w:pPr>
        <w:pStyle w:val="ListParagraph"/>
        <w:numPr>
          <w:ilvl w:val="0"/>
          <w:numId w:val="21"/>
        </w:numPr>
        <w:ind w:right="-22"/>
      </w:pPr>
      <w:bookmarkStart w:id="9" w:name="_Ref114500673"/>
      <w:bookmarkStart w:id="10" w:name="_Ref133846584"/>
      <w:bookmarkEnd w:id="9"/>
      <w:r w:rsidRPr="00845F41">
        <w:t>R4-2305918</w:t>
      </w:r>
      <w:r>
        <w:t>, “</w:t>
      </w:r>
      <w:r w:rsidRPr="00845F41">
        <w:t>WF on BS RF requirement impact for SBFD operation</w:t>
      </w:r>
      <w:r>
        <w:t xml:space="preserve">”, CATT, </w:t>
      </w:r>
      <w:r w:rsidRPr="008C39F7">
        <w:t>RAN4 #10</w:t>
      </w:r>
      <w:r>
        <w:t>6bis-e</w:t>
      </w:r>
      <w:r w:rsidRPr="008C39F7">
        <w:t xml:space="preserve">, </w:t>
      </w:r>
      <w:r>
        <w:t>Online</w:t>
      </w:r>
      <w:r w:rsidRPr="008C39F7">
        <w:t xml:space="preserve">, </w:t>
      </w:r>
      <w:r>
        <w:t>April 2023.</w:t>
      </w:r>
      <w:bookmarkEnd w:id="10"/>
    </w:p>
    <w:p w14:paraId="29CA6BD9" w14:textId="77777777" w:rsidR="000040DC" w:rsidRPr="008C39F7" w:rsidRDefault="000040DC" w:rsidP="000040DC">
      <w:pPr>
        <w:ind w:right="-22"/>
        <w:rPr>
          <w:highlight w:val="yellow"/>
        </w:rPr>
      </w:pPr>
    </w:p>
    <w:p w14:paraId="7FD518D9" w14:textId="77777777" w:rsidR="0060543D" w:rsidRPr="008C39F7" w:rsidRDefault="0060543D" w:rsidP="0060543D"/>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21A76" w14:textId="77777777" w:rsidR="00B83F6D" w:rsidRDefault="00B83F6D" w:rsidP="00001C9B">
      <w:pPr>
        <w:spacing w:after="0" w:line="240" w:lineRule="auto"/>
      </w:pPr>
      <w:r>
        <w:separator/>
      </w:r>
    </w:p>
  </w:endnote>
  <w:endnote w:type="continuationSeparator" w:id="0">
    <w:p w14:paraId="69542D03" w14:textId="77777777" w:rsidR="00B83F6D" w:rsidRDefault="00B83F6D" w:rsidP="00001C9B">
      <w:pPr>
        <w:spacing w:after="0" w:line="240" w:lineRule="auto"/>
      </w:pPr>
      <w:r>
        <w:continuationSeparator/>
      </w:r>
    </w:p>
  </w:endnote>
  <w:endnote w:type="continuationNotice" w:id="1">
    <w:p w14:paraId="544145C3" w14:textId="77777777" w:rsidR="00B83F6D" w:rsidRDefault="00B83F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F509C" w14:textId="77777777" w:rsidR="00B83F6D" w:rsidRDefault="00B83F6D" w:rsidP="00001C9B">
      <w:pPr>
        <w:spacing w:after="0" w:line="240" w:lineRule="auto"/>
      </w:pPr>
      <w:r>
        <w:separator/>
      </w:r>
    </w:p>
  </w:footnote>
  <w:footnote w:type="continuationSeparator" w:id="0">
    <w:p w14:paraId="0A33366F" w14:textId="77777777" w:rsidR="00B83F6D" w:rsidRDefault="00B83F6D" w:rsidP="00001C9B">
      <w:pPr>
        <w:spacing w:after="0" w:line="240" w:lineRule="auto"/>
      </w:pPr>
      <w:r>
        <w:continuationSeparator/>
      </w:r>
    </w:p>
  </w:footnote>
  <w:footnote w:type="continuationNotice" w:id="1">
    <w:p w14:paraId="6ABB6EAF" w14:textId="77777777" w:rsidR="00B83F6D" w:rsidRDefault="00B83F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08CD"/>
    <w:multiLevelType w:val="multilevel"/>
    <w:tmpl w:val="83248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FE607C"/>
    <w:multiLevelType w:val="multilevel"/>
    <w:tmpl w:val="818EA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035E3D"/>
    <w:multiLevelType w:val="multilevel"/>
    <w:tmpl w:val="34D40B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91B70"/>
    <w:multiLevelType w:val="multilevel"/>
    <w:tmpl w:val="AC40C3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D76155F"/>
    <w:multiLevelType w:val="multilevel"/>
    <w:tmpl w:val="FEDA7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FF1D79"/>
    <w:multiLevelType w:val="multilevel"/>
    <w:tmpl w:val="C0842C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51EE9172"/>
    <w:lvl w:ilvl="0" w:tplc="706E92F8">
      <w:start w:val="2"/>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7027CC"/>
    <w:multiLevelType w:val="multilevel"/>
    <w:tmpl w:val="F0F8E3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FD77DD"/>
    <w:multiLevelType w:val="multilevel"/>
    <w:tmpl w:val="59FEC8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9926635"/>
    <w:multiLevelType w:val="multilevel"/>
    <w:tmpl w:val="AE687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DA23692"/>
    <w:multiLevelType w:val="multilevel"/>
    <w:tmpl w:val="7BB442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15"/>
  </w:num>
  <w:num w:numId="4" w16cid:durableId="517735681">
    <w:abstractNumId w:val="7"/>
  </w:num>
  <w:num w:numId="5" w16cid:durableId="1142041724">
    <w:abstractNumId w:val="20"/>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3"/>
  </w:num>
  <w:num w:numId="16" w16cid:durableId="516113510">
    <w:abstractNumId w:val="4"/>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6"/>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392433061">
    <w:abstractNumId w:val="5"/>
  </w:num>
  <w:num w:numId="28" w16cid:durableId="437485006">
    <w:abstractNumId w:val="18"/>
  </w:num>
  <w:num w:numId="29" w16cid:durableId="336420455">
    <w:abstractNumId w:val="0"/>
  </w:num>
  <w:num w:numId="30" w16cid:durableId="47724751">
    <w:abstractNumId w:val="6"/>
  </w:num>
  <w:num w:numId="31" w16cid:durableId="322055099">
    <w:abstractNumId w:val="10"/>
  </w:num>
  <w:num w:numId="32" w16cid:durableId="1354456310">
    <w:abstractNumId w:val="9"/>
  </w:num>
  <w:num w:numId="33" w16cid:durableId="368919249">
    <w:abstractNumId w:val="22"/>
  </w:num>
  <w:num w:numId="34" w16cid:durableId="342098533">
    <w:abstractNumId w:val="17"/>
  </w:num>
  <w:num w:numId="35" w16cid:durableId="463740785">
    <w:abstractNumId w:val="11"/>
  </w:num>
  <w:num w:numId="36" w16cid:durableId="15796363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265AD"/>
    <w:rsid w:val="0000072D"/>
    <w:rsid w:val="00001C9B"/>
    <w:rsid w:val="000040DC"/>
    <w:rsid w:val="00011784"/>
    <w:rsid w:val="000151EF"/>
    <w:rsid w:val="00016814"/>
    <w:rsid w:val="000239F5"/>
    <w:rsid w:val="00056103"/>
    <w:rsid w:val="00060FCF"/>
    <w:rsid w:val="00065122"/>
    <w:rsid w:val="000679D3"/>
    <w:rsid w:val="0007787A"/>
    <w:rsid w:val="0008612A"/>
    <w:rsid w:val="00090E18"/>
    <w:rsid w:val="0009186D"/>
    <w:rsid w:val="0009456A"/>
    <w:rsid w:val="000A10BC"/>
    <w:rsid w:val="000B0056"/>
    <w:rsid w:val="000B55B9"/>
    <w:rsid w:val="000C215F"/>
    <w:rsid w:val="000C3C7B"/>
    <w:rsid w:val="000C5C09"/>
    <w:rsid w:val="000D0F93"/>
    <w:rsid w:val="00106416"/>
    <w:rsid w:val="00110481"/>
    <w:rsid w:val="001127C9"/>
    <w:rsid w:val="00115B88"/>
    <w:rsid w:val="00132F6A"/>
    <w:rsid w:val="00133913"/>
    <w:rsid w:val="001369BB"/>
    <w:rsid w:val="00140221"/>
    <w:rsid w:val="00145A74"/>
    <w:rsid w:val="001619D3"/>
    <w:rsid w:val="001642FC"/>
    <w:rsid w:val="0016496B"/>
    <w:rsid w:val="00170A7E"/>
    <w:rsid w:val="001743E2"/>
    <w:rsid w:val="001745F8"/>
    <w:rsid w:val="00181181"/>
    <w:rsid w:val="001838CF"/>
    <w:rsid w:val="001868EE"/>
    <w:rsid w:val="001A3BA4"/>
    <w:rsid w:val="001A41B7"/>
    <w:rsid w:val="001A6D1F"/>
    <w:rsid w:val="001B6C3B"/>
    <w:rsid w:val="001E1643"/>
    <w:rsid w:val="001E30F6"/>
    <w:rsid w:val="001E752E"/>
    <w:rsid w:val="001F5773"/>
    <w:rsid w:val="001F78F7"/>
    <w:rsid w:val="002112A5"/>
    <w:rsid w:val="00217EE5"/>
    <w:rsid w:val="002279EE"/>
    <w:rsid w:val="00235F5C"/>
    <w:rsid w:val="00245932"/>
    <w:rsid w:val="00253C09"/>
    <w:rsid w:val="00257FA3"/>
    <w:rsid w:val="00277B56"/>
    <w:rsid w:val="00282C3C"/>
    <w:rsid w:val="00286A47"/>
    <w:rsid w:val="002A19F5"/>
    <w:rsid w:val="002A1BF5"/>
    <w:rsid w:val="002B1BF1"/>
    <w:rsid w:val="002B4922"/>
    <w:rsid w:val="002C22C3"/>
    <w:rsid w:val="002C2D19"/>
    <w:rsid w:val="002D10FA"/>
    <w:rsid w:val="002D3939"/>
    <w:rsid w:val="002D4C55"/>
    <w:rsid w:val="002E62DD"/>
    <w:rsid w:val="002E6DED"/>
    <w:rsid w:val="00300956"/>
    <w:rsid w:val="00301BA8"/>
    <w:rsid w:val="003046AC"/>
    <w:rsid w:val="00317187"/>
    <w:rsid w:val="00324751"/>
    <w:rsid w:val="0032499A"/>
    <w:rsid w:val="003341F7"/>
    <w:rsid w:val="003353D5"/>
    <w:rsid w:val="003423F4"/>
    <w:rsid w:val="00342F37"/>
    <w:rsid w:val="00347FEC"/>
    <w:rsid w:val="00356F45"/>
    <w:rsid w:val="00366B74"/>
    <w:rsid w:val="003705C5"/>
    <w:rsid w:val="00372F2C"/>
    <w:rsid w:val="0037637F"/>
    <w:rsid w:val="00376F6B"/>
    <w:rsid w:val="003A6FD8"/>
    <w:rsid w:val="003A710A"/>
    <w:rsid w:val="003B659E"/>
    <w:rsid w:val="003C275E"/>
    <w:rsid w:val="003C33A4"/>
    <w:rsid w:val="003C4FDE"/>
    <w:rsid w:val="003E12E3"/>
    <w:rsid w:val="003E58DF"/>
    <w:rsid w:val="00404C4C"/>
    <w:rsid w:val="00406652"/>
    <w:rsid w:val="004069B8"/>
    <w:rsid w:val="0041241B"/>
    <w:rsid w:val="00413277"/>
    <w:rsid w:val="0041423F"/>
    <w:rsid w:val="00414F81"/>
    <w:rsid w:val="00420331"/>
    <w:rsid w:val="004307A4"/>
    <w:rsid w:val="00436A0F"/>
    <w:rsid w:val="00437150"/>
    <w:rsid w:val="00437266"/>
    <w:rsid w:val="0043750A"/>
    <w:rsid w:val="004732E9"/>
    <w:rsid w:val="004854BB"/>
    <w:rsid w:val="00494493"/>
    <w:rsid w:val="00496606"/>
    <w:rsid w:val="00496B3C"/>
    <w:rsid w:val="004A2DF9"/>
    <w:rsid w:val="004B10DD"/>
    <w:rsid w:val="004B5376"/>
    <w:rsid w:val="004D254C"/>
    <w:rsid w:val="004E318F"/>
    <w:rsid w:val="004E4287"/>
    <w:rsid w:val="004E5E66"/>
    <w:rsid w:val="004E7ADB"/>
    <w:rsid w:val="00503B4D"/>
    <w:rsid w:val="00504EE9"/>
    <w:rsid w:val="00512CAB"/>
    <w:rsid w:val="00517EC1"/>
    <w:rsid w:val="00521576"/>
    <w:rsid w:val="005250E6"/>
    <w:rsid w:val="00542D23"/>
    <w:rsid w:val="0054442C"/>
    <w:rsid w:val="00547AF8"/>
    <w:rsid w:val="00550285"/>
    <w:rsid w:val="0055304B"/>
    <w:rsid w:val="00553947"/>
    <w:rsid w:val="00562492"/>
    <w:rsid w:val="00566320"/>
    <w:rsid w:val="00572A20"/>
    <w:rsid w:val="005836F8"/>
    <w:rsid w:val="00587198"/>
    <w:rsid w:val="0058798F"/>
    <w:rsid w:val="005918FA"/>
    <w:rsid w:val="00592A86"/>
    <w:rsid w:val="005B4801"/>
    <w:rsid w:val="005C23A4"/>
    <w:rsid w:val="005D1CDF"/>
    <w:rsid w:val="005D2BB7"/>
    <w:rsid w:val="005E61A8"/>
    <w:rsid w:val="005F2E06"/>
    <w:rsid w:val="005F6419"/>
    <w:rsid w:val="005F74E5"/>
    <w:rsid w:val="0060543D"/>
    <w:rsid w:val="006102BE"/>
    <w:rsid w:val="006104DD"/>
    <w:rsid w:val="00611221"/>
    <w:rsid w:val="006130B5"/>
    <w:rsid w:val="006131CD"/>
    <w:rsid w:val="0061362E"/>
    <w:rsid w:val="00617400"/>
    <w:rsid w:val="006207A2"/>
    <w:rsid w:val="00632D29"/>
    <w:rsid w:val="006520DF"/>
    <w:rsid w:val="00664950"/>
    <w:rsid w:val="00683220"/>
    <w:rsid w:val="006877D8"/>
    <w:rsid w:val="00687FA0"/>
    <w:rsid w:val="00694D11"/>
    <w:rsid w:val="00695F69"/>
    <w:rsid w:val="006A3C11"/>
    <w:rsid w:val="006A4484"/>
    <w:rsid w:val="006B35AA"/>
    <w:rsid w:val="006B7010"/>
    <w:rsid w:val="006C3095"/>
    <w:rsid w:val="006C7625"/>
    <w:rsid w:val="006C7B77"/>
    <w:rsid w:val="006E1151"/>
    <w:rsid w:val="006E6311"/>
    <w:rsid w:val="006F1475"/>
    <w:rsid w:val="006F588D"/>
    <w:rsid w:val="00702F45"/>
    <w:rsid w:val="007145FF"/>
    <w:rsid w:val="00715B2A"/>
    <w:rsid w:val="00736F82"/>
    <w:rsid w:val="007450F1"/>
    <w:rsid w:val="00751515"/>
    <w:rsid w:val="007626B7"/>
    <w:rsid w:val="007649E4"/>
    <w:rsid w:val="0078212B"/>
    <w:rsid w:val="00784DF6"/>
    <w:rsid w:val="00785232"/>
    <w:rsid w:val="007949FA"/>
    <w:rsid w:val="007A1852"/>
    <w:rsid w:val="007A3C1C"/>
    <w:rsid w:val="007B186C"/>
    <w:rsid w:val="007C15C7"/>
    <w:rsid w:val="007C1696"/>
    <w:rsid w:val="007C3ED0"/>
    <w:rsid w:val="007C5971"/>
    <w:rsid w:val="007E042E"/>
    <w:rsid w:val="007F3244"/>
    <w:rsid w:val="007F34A9"/>
    <w:rsid w:val="007F54B9"/>
    <w:rsid w:val="008028C1"/>
    <w:rsid w:val="00806A76"/>
    <w:rsid w:val="00811C9D"/>
    <w:rsid w:val="00816C80"/>
    <w:rsid w:val="00820AF9"/>
    <w:rsid w:val="00833A99"/>
    <w:rsid w:val="00841BCD"/>
    <w:rsid w:val="00845C66"/>
    <w:rsid w:val="00845F41"/>
    <w:rsid w:val="00851A8E"/>
    <w:rsid w:val="0085365B"/>
    <w:rsid w:val="008573A2"/>
    <w:rsid w:val="00867D7F"/>
    <w:rsid w:val="008826C1"/>
    <w:rsid w:val="00883DFD"/>
    <w:rsid w:val="008924E4"/>
    <w:rsid w:val="008A1BF7"/>
    <w:rsid w:val="008A5B0E"/>
    <w:rsid w:val="008B0961"/>
    <w:rsid w:val="008C39F7"/>
    <w:rsid w:val="008D73B9"/>
    <w:rsid w:val="008F2A84"/>
    <w:rsid w:val="0090091A"/>
    <w:rsid w:val="00901848"/>
    <w:rsid w:val="009042BD"/>
    <w:rsid w:val="00904572"/>
    <w:rsid w:val="00904FE4"/>
    <w:rsid w:val="00906D39"/>
    <w:rsid w:val="00915AE1"/>
    <w:rsid w:val="009263AC"/>
    <w:rsid w:val="00936159"/>
    <w:rsid w:val="009447BF"/>
    <w:rsid w:val="009552BC"/>
    <w:rsid w:val="00962DED"/>
    <w:rsid w:val="00977E1D"/>
    <w:rsid w:val="0098613B"/>
    <w:rsid w:val="009B0573"/>
    <w:rsid w:val="009B1E8F"/>
    <w:rsid w:val="009B46E3"/>
    <w:rsid w:val="009B7B4B"/>
    <w:rsid w:val="009B7C21"/>
    <w:rsid w:val="009C3B1D"/>
    <w:rsid w:val="009F2585"/>
    <w:rsid w:val="009F762A"/>
    <w:rsid w:val="00A03676"/>
    <w:rsid w:val="00A04992"/>
    <w:rsid w:val="00A147AA"/>
    <w:rsid w:val="00A14B93"/>
    <w:rsid w:val="00A21D71"/>
    <w:rsid w:val="00A22283"/>
    <w:rsid w:val="00A22B78"/>
    <w:rsid w:val="00A25588"/>
    <w:rsid w:val="00A25AE5"/>
    <w:rsid w:val="00A265AD"/>
    <w:rsid w:val="00A37002"/>
    <w:rsid w:val="00A4355E"/>
    <w:rsid w:val="00A4705A"/>
    <w:rsid w:val="00A54884"/>
    <w:rsid w:val="00A84F26"/>
    <w:rsid w:val="00A92BCD"/>
    <w:rsid w:val="00AA1B0E"/>
    <w:rsid w:val="00AA47B6"/>
    <w:rsid w:val="00AB746A"/>
    <w:rsid w:val="00AC163B"/>
    <w:rsid w:val="00AC5CA7"/>
    <w:rsid w:val="00AC6058"/>
    <w:rsid w:val="00AD6C96"/>
    <w:rsid w:val="00AE2BA5"/>
    <w:rsid w:val="00AE56B1"/>
    <w:rsid w:val="00AE6D09"/>
    <w:rsid w:val="00AF0F86"/>
    <w:rsid w:val="00AF4D38"/>
    <w:rsid w:val="00AF7A7C"/>
    <w:rsid w:val="00B01F75"/>
    <w:rsid w:val="00B02070"/>
    <w:rsid w:val="00B26AC7"/>
    <w:rsid w:val="00B408B6"/>
    <w:rsid w:val="00B542DA"/>
    <w:rsid w:val="00B5747B"/>
    <w:rsid w:val="00B65F29"/>
    <w:rsid w:val="00B73862"/>
    <w:rsid w:val="00B73F43"/>
    <w:rsid w:val="00B83F6D"/>
    <w:rsid w:val="00B87FBA"/>
    <w:rsid w:val="00BA6B66"/>
    <w:rsid w:val="00BA6E48"/>
    <w:rsid w:val="00BD4846"/>
    <w:rsid w:val="00BE0AF6"/>
    <w:rsid w:val="00BE1F03"/>
    <w:rsid w:val="00BE58A7"/>
    <w:rsid w:val="00BF2218"/>
    <w:rsid w:val="00BF5250"/>
    <w:rsid w:val="00C0197D"/>
    <w:rsid w:val="00C0426B"/>
    <w:rsid w:val="00C045DF"/>
    <w:rsid w:val="00C12EE8"/>
    <w:rsid w:val="00C16623"/>
    <w:rsid w:val="00C224CA"/>
    <w:rsid w:val="00C24DD4"/>
    <w:rsid w:val="00C26D43"/>
    <w:rsid w:val="00C31AFF"/>
    <w:rsid w:val="00C324F8"/>
    <w:rsid w:val="00C41C9C"/>
    <w:rsid w:val="00C46548"/>
    <w:rsid w:val="00C4756F"/>
    <w:rsid w:val="00C574D5"/>
    <w:rsid w:val="00C643A4"/>
    <w:rsid w:val="00C73F32"/>
    <w:rsid w:val="00C80B8A"/>
    <w:rsid w:val="00C87462"/>
    <w:rsid w:val="00CA06D4"/>
    <w:rsid w:val="00CA180C"/>
    <w:rsid w:val="00CA3003"/>
    <w:rsid w:val="00CB22B2"/>
    <w:rsid w:val="00CB23C6"/>
    <w:rsid w:val="00CC3EE2"/>
    <w:rsid w:val="00CD5FE7"/>
    <w:rsid w:val="00CD7492"/>
    <w:rsid w:val="00CE3A6B"/>
    <w:rsid w:val="00CE4C50"/>
    <w:rsid w:val="00CE7AB3"/>
    <w:rsid w:val="00D00211"/>
    <w:rsid w:val="00D06309"/>
    <w:rsid w:val="00D351EA"/>
    <w:rsid w:val="00D40288"/>
    <w:rsid w:val="00D43403"/>
    <w:rsid w:val="00D4787E"/>
    <w:rsid w:val="00D5270B"/>
    <w:rsid w:val="00D571C8"/>
    <w:rsid w:val="00D62E71"/>
    <w:rsid w:val="00D6430D"/>
    <w:rsid w:val="00D64EAA"/>
    <w:rsid w:val="00D66188"/>
    <w:rsid w:val="00D731F6"/>
    <w:rsid w:val="00D740CA"/>
    <w:rsid w:val="00D812CF"/>
    <w:rsid w:val="00D85728"/>
    <w:rsid w:val="00D95481"/>
    <w:rsid w:val="00DA1E49"/>
    <w:rsid w:val="00DB4A5B"/>
    <w:rsid w:val="00DC12F6"/>
    <w:rsid w:val="00DC7A13"/>
    <w:rsid w:val="00DF2997"/>
    <w:rsid w:val="00DF481E"/>
    <w:rsid w:val="00E00124"/>
    <w:rsid w:val="00E10BC4"/>
    <w:rsid w:val="00E121FA"/>
    <w:rsid w:val="00E1415D"/>
    <w:rsid w:val="00E14A87"/>
    <w:rsid w:val="00E14D41"/>
    <w:rsid w:val="00E16D27"/>
    <w:rsid w:val="00E24FD0"/>
    <w:rsid w:val="00E323E9"/>
    <w:rsid w:val="00E34018"/>
    <w:rsid w:val="00E34AEB"/>
    <w:rsid w:val="00E40067"/>
    <w:rsid w:val="00E43053"/>
    <w:rsid w:val="00E437D2"/>
    <w:rsid w:val="00E54BA8"/>
    <w:rsid w:val="00E55751"/>
    <w:rsid w:val="00E66E13"/>
    <w:rsid w:val="00E75DEF"/>
    <w:rsid w:val="00E769E3"/>
    <w:rsid w:val="00E94D59"/>
    <w:rsid w:val="00E96692"/>
    <w:rsid w:val="00EA2311"/>
    <w:rsid w:val="00EB6376"/>
    <w:rsid w:val="00EC207B"/>
    <w:rsid w:val="00EC3517"/>
    <w:rsid w:val="00EC7BC3"/>
    <w:rsid w:val="00ED0906"/>
    <w:rsid w:val="00ED7600"/>
    <w:rsid w:val="00EE44B1"/>
    <w:rsid w:val="00EF6073"/>
    <w:rsid w:val="00EF698B"/>
    <w:rsid w:val="00F0041C"/>
    <w:rsid w:val="00F00864"/>
    <w:rsid w:val="00F1362C"/>
    <w:rsid w:val="00F33FDC"/>
    <w:rsid w:val="00F414F1"/>
    <w:rsid w:val="00F43692"/>
    <w:rsid w:val="00F43D37"/>
    <w:rsid w:val="00F508B8"/>
    <w:rsid w:val="00F5474B"/>
    <w:rsid w:val="00F71000"/>
    <w:rsid w:val="00F72CB1"/>
    <w:rsid w:val="00F7464E"/>
    <w:rsid w:val="00F80E0F"/>
    <w:rsid w:val="00F81B38"/>
    <w:rsid w:val="00F8215E"/>
    <w:rsid w:val="00F824F5"/>
    <w:rsid w:val="00F90FAB"/>
    <w:rsid w:val="00F91ED3"/>
    <w:rsid w:val="00F92DB2"/>
    <w:rsid w:val="00F93175"/>
    <w:rsid w:val="00F9374D"/>
    <w:rsid w:val="00FB230A"/>
    <w:rsid w:val="00FC29B9"/>
    <w:rsid w:val="00FC6FD3"/>
    <w:rsid w:val="00FD34E2"/>
    <w:rsid w:val="00FE18F7"/>
    <w:rsid w:val="00FE305C"/>
    <w:rsid w:val="00FF0301"/>
    <w:rsid w:val="00FF0AB1"/>
    <w:rsid w:val="00FF3513"/>
    <w:rsid w:val="070474B4"/>
    <w:rsid w:val="11CFC4A9"/>
    <w:rsid w:val="1E0EA5EC"/>
    <w:rsid w:val="2F17C5A3"/>
    <w:rsid w:val="42F565BF"/>
    <w:rsid w:val="45F5342A"/>
    <w:rsid w:val="49F07415"/>
    <w:rsid w:val="4D989F19"/>
    <w:rsid w:val="56574BB0"/>
    <w:rsid w:val="5D3F2801"/>
    <w:rsid w:val="63000AF1"/>
    <w:rsid w:val="64CEA78D"/>
    <w:rsid w:val="742735CD"/>
    <w:rsid w:val="7543A56B"/>
    <w:rsid w:val="7D279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B2328"/>
  <w15:chartTrackingRefBased/>
  <w15:docId w15:val="{8664841B-9868-4E82-AD2F-E166B4E9A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4572"/>
  </w:style>
  <w:style w:type="character" w:customStyle="1" w:styleId="eop">
    <w:name w:val="eop"/>
    <w:basedOn w:val="DefaultParagraphFont"/>
    <w:rsid w:val="00904572"/>
  </w:style>
  <w:style w:type="paragraph" w:styleId="NormalWeb">
    <w:name w:val="Normal (Web)"/>
    <w:basedOn w:val="Normal"/>
    <w:uiPriority w:val="99"/>
    <w:semiHidden/>
    <w:unhideWhenUsed/>
    <w:rsid w:val="00FF3513"/>
    <w:pPr>
      <w:spacing w:before="100" w:beforeAutospacing="1" w:after="100" w:afterAutospacing="1" w:line="240" w:lineRule="auto"/>
    </w:pPr>
    <w:rPr>
      <w:rFonts w:eastAsia="Times New Roman" w:cs="Times New Roman"/>
      <w:sz w:val="24"/>
      <w:szCs w:val="24"/>
    </w:rPr>
  </w:style>
  <w:style w:type="paragraph" w:styleId="Revision">
    <w:name w:val="Revision"/>
    <w:hidden/>
    <w:uiPriority w:val="99"/>
    <w:semiHidden/>
    <w:rsid w:val="00060FCF"/>
    <w:pPr>
      <w:spacing w:after="0" w:line="240" w:lineRule="auto"/>
    </w:pPr>
    <w:rPr>
      <w:rFonts w:ascii="Times New Roman" w:hAnsi="Times New Roman"/>
      <w:sz w:val="20"/>
    </w:rPr>
  </w:style>
  <w:style w:type="character" w:styleId="Mention">
    <w:name w:val="Mention"/>
    <w:basedOn w:val="DefaultParagraphFont"/>
    <w:uiPriority w:val="99"/>
    <w:unhideWhenUsed/>
    <w:rsid w:val="00833A99"/>
    <w:rPr>
      <w:color w:val="2B579A"/>
      <w:shd w:val="clear" w:color="auto" w:fill="E1DFDD"/>
    </w:rPr>
  </w:style>
  <w:style w:type="paragraph" w:styleId="Header">
    <w:name w:val="header"/>
    <w:basedOn w:val="Normal"/>
    <w:link w:val="HeaderChar"/>
    <w:uiPriority w:val="99"/>
    <w:semiHidden/>
    <w:unhideWhenUsed/>
    <w:rsid w:val="00DC12F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C12F6"/>
    <w:rPr>
      <w:rFonts w:ascii="Times New Roman" w:hAnsi="Times New Roman"/>
      <w:sz w:val="20"/>
    </w:rPr>
  </w:style>
  <w:style w:type="paragraph" w:styleId="Footer">
    <w:name w:val="footer"/>
    <w:basedOn w:val="Normal"/>
    <w:link w:val="FooterChar"/>
    <w:uiPriority w:val="99"/>
    <w:semiHidden/>
    <w:unhideWhenUsed/>
    <w:rsid w:val="00DC12F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C12F6"/>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043408">
      <w:bodyDiv w:val="1"/>
      <w:marLeft w:val="0"/>
      <w:marRight w:val="0"/>
      <w:marTop w:val="0"/>
      <w:marBottom w:val="0"/>
      <w:divBdr>
        <w:top w:val="none" w:sz="0" w:space="0" w:color="auto"/>
        <w:left w:val="none" w:sz="0" w:space="0" w:color="auto"/>
        <w:bottom w:val="none" w:sz="0" w:space="0" w:color="auto"/>
        <w:right w:val="none" w:sz="0" w:space="0" w:color="auto"/>
      </w:divBdr>
    </w:div>
    <w:div w:id="420180695">
      <w:bodyDiv w:val="1"/>
      <w:marLeft w:val="0"/>
      <w:marRight w:val="0"/>
      <w:marTop w:val="0"/>
      <w:marBottom w:val="0"/>
      <w:divBdr>
        <w:top w:val="none" w:sz="0" w:space="0" w:color="auto"/>
        <w:left w:val="none" w:sz="0" w:space="0" w:color="auto"/>
        <w:bottom w:val="none" w:sz="0" w:space="0" w:color="auto"/>
        <w:right w:val="none" w:sz="0" w:space="0" w:color="auto"/>
      </w:divBdr>
    </w:div>
    <w:div w:id="1447964178">
      <w:bodyDiv w:val="1"/>
      <w:marLeft w:val="0"/>
      <w:marRight w:val="0"/>
      <w:marTop w:val="0"/>
      <w:marBottom w:val="0"/>
      <w:divBdr>
        <w:top w:val="none" w:sz="0" w:space="0" w:color="auto"/>
        <w:left w:val="none" w:sz="0" w:space="0" w:color="auto"/>
        <w:bottom w:val="none" w:sz="0" w:space="0" w:color="auto"/>
        <w:right w:val="none" w:sz="0" w:space="0" w:color="auto"/>
      </w:divBdr>
    </w:div>
    <w:div w:id="1944026203">
      <w:bodyDiv w:val="1"/>
      <w:marLeft w:val="0"/>
      <w:marRight w:val="0"/>
      <w:marTop w:val="0"/>
      <w:marBottom w:val="0"/>
      <w:divBdr>
        <w:top w:val="none" w:sz="0" w:space="0" w:color="auto"/>
        <w:left w:val="none" w:sz="0" w:space="0" w:color="auto"/>
        <w:bottom w:val="none" w:sz="0" w:space="0" w:color="auto"/>
        <w:right w:val="none" w:sz="0" w:space="0" w:color="auto"/>
      </w:divBdr>
    </w:div>
    <w:div w:id="212338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5AIRPNAIUNRU-1328258698-22808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https://nokia.sharepoint.com/sites/c5g/5gradio/_layouts/15/DocIdRedir.aspx?ID=5AIRPNAIUNRU-1328258698-22808</Url>
      <Description>5AIRPNAIUNRU-1328258698-22808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Template>
  <TotalTime>32</TotalTime>
  <Pages>4</Pages>
  <Words>1110</Words>
  <Characters>6331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Veli-Matti Holappa (Nokia)</cp:lastModifiedBy>
  <cp:revision>8</cp:revision>
  <dcterms:created xsi:type="dcterms:W3CDTF">2023-05-15T12:56:00Z</dcterms:created>
  <dcterms:modified xsi:type="dcterms:W3CDTF">2023-05-15T18:29:00Z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88805cc4-da43-4808-9171-9dccbe82f209</vt:lpwstr>
  </property>
  <property fmtid="{D5CDD505-2E9C-101B-9397-08002B2CF9AE}" pid="11" name="MediaServiceImageTags">
    <vt:lpwstr/>
  </property>
</Properties>
</file>